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A4D6" w14:textId="07039401" w:rsidR="007F6C06" w:rsidRDefault="0071792B" w:rsidP="0071792B">
      <w:pPr>
        <w:pStyle w:val="BodyText"/>
        <w:spacing w:before="9"/>
        <w:jc w:val="center"/>
        <w:rPr>
          <w:rFonts w:ascii="Times New Roman"/>
          <w:sz w:val="16"/>
        </w:rPr>
      </w:pPr>
      <w:r w:rsidRPr="00C92AE2"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2F51A3E9" wp14:editId="49E30C69">
            <wp:simplePos x="0" y="0"/>
            <wp:positionH relativeFrom="column">
              <wp:posOffset>1930400</wp:posOffset>
            </wp:positionH>
            <wp:positionV relativeFrom="paragraph">
              <wp:posOffset>3175</wp:posOffset>
            </wp:positionV>
            <wp:extent cx="2404745" cy="721360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75DF0" w14:textId="77777777" w:rsidR="007F6C06" w:rsidRDefault="003A160F">
      <w:pPr>
        <w:pStyle w:val="Heading1"/>
        <w:spacing w:before="64"/>
        <w:rPr>
          <w:u w:val="none"/>
        </w:rPr>
      </w:pPr>
      <w:r>
        <w:rPr>
          <w:u w:val="thick"/>
        </w:rPr>
        <w:t>Metabolic Syndrome Screening Program Description</w:t>
      </w:r>
    </w:p>
    <w:p w14:paraId="35BBA2DE" w14:textId="77777777" w:rsidR="007F6C06" w:rsidRDefault="007F6C06">
      <w:pPr>
        <w:pStyle w:val="BodyText"/>
        <w:spacing w:before="4"/>
        <w:rPr>
          <w:b/>
          <w:sz w:val="15"/>
        </w:rPr>
      </w:pPr>
    </w:p>
    <w:p w14:paraId="7A6400F3" w14:textId="75617232" w:rsidR="007F6C06" w:rsidRDefault="003A160F">
      <w:pPr>
        <w:pStyle w:val="BodyText"/>
        <w:spacing w:before="65"/>
        <w:ind w:left="219" w:right="347"/>
      </w:pPr>
      <w:r>
        <w:t>The Mayo Clinic defines metabolic syndrome as a cluster of conditions, including increased blood pressure, a high blood sugar level, excess body fat around the waist and abnormal cholesterol levels that occur together, increasing a person’s risk of heart d</w:t>
      </w:r>
      <w:r>
        <w:t xml:space="preserve">isease, stroke and diabetes. According to the </w:t>
      </w:r>
      <w:r w:rsidR="00FA5104" w:rsidRPr="00FA5104">
        <w:t>Nevada</w:t>
      </w:r>
      <w:r w:rsidRPr="00FA5104">
        <w:t xml:space="preserve"> Medicaid Drug </w:t>
      </w:r>
      <w:r w:rsidR="00FA5104" w:rsidRPr="00FA5104">
        <w:t>Transparency Report</w:t>
      </w:r>
      <w:r w:rsidR="00FA5104">
        <w:t xml:space="preserve"> </w:t>
      </w:r>
      <w:r>
        <w:t>for Behavioral Health, as many as 63% of individuals diagnoses with schizophrenia and 49% of individuals diagnosed with Bi-Polar Disorder are at risk for develop</w:t>
      </w:r>
      <w:r>
        <w:t xml:space="preserve">ing metabolic syndrome. Therefore, behavioral health members on atypical antipsychotics such as Abilify, Zyprexa, Geodon, Risperdal, Latuda, Invega, Saphris, Seroquel, and </w:t>
      </w:r>
      <w:proofErr w:type="spellStart"/>
      <w:r>
        <w:t>Fanapt</w:t>
      </w:r>
      <w:proofErr w:type="spellEnd"/>
      <w:r>
        <w:t xml:space="preserve"> should be routinely monitored for symptoms of metabolic syndrome. </w:t>
      </w:r>
      <w:r w:rsidR="0071792B">
        <w:t xml:space="preserve">Nevada </w:t>
      </w:r>
      <w:r>
        <w:t>Beha</w:t>
      </w:r>
      <w:r>
        <w:t>vioral Health has created this Screening Program for practitioners to use as a guide when serving members who are prescribed atypical antipsychotics.</w:t>
      </w:r>
    </w:p>
    <w:p w14:paraId="69857677" w14:textId="77777777" w:rsidR="007F6C06" w:rsidRDefault="007F6C06">
      <w:pPr>
        <w:pStyle w:val="BodyText"/>
        <w:spacing w:before="8"/>
        <w:rPr>
          <w:sz w:val="23"/>
        </w:rPr>
      </w:pPr>
    </w:p>
    <w:p w14:paraId="401EADBD" w14:textId="77777777" w:rsidR="007F6C06" w:rsidRDefault="003A160F">
      <w:pPr>
        <w:pStyle w:val="Heading1"/>
        <w:rPr>
          <w:u w:val="none"/>
        </w:rPr>
      </w:pPr>
      <w:r>
        <w:rPr>
          <w:u w:val="thick"/>
        </w:rPr>
        <w:t>Eligible Members</w:t>
      </w:r>
    </w:p>
    <w:p w14:paraId="73FC04D2" w14:textId="77777777" w:rsidR="007F6C06" w:rsidRDefault="007F6C06">
      <w:pPr>
        <w:pStyle w:val="BodyText"/>
        <w:spacing w:before="4"/>
        <w:rPr>
          <w:b/>
          <w:sz w:val="15"/>
        </w:rPr>
      </w:pPr>
    </w:p>
    <w:p w14:paraId="2651F256" w14:textId="3FFBE4BF" w:rsidR="007F6C06" w:rsidRDefault="003A160F">
      <w:pPr>
        <w:pStyle w:val="BodyText"/>
        <w:spacing w:before="65"/>
        <w:ind w:left="219" w:right="958"/>
      </w:pPr>
      <w:r>
        <w:t>Eligible members will be identified from pharmacy data when they have been prescribed a</w:t>
      </w:r>
      <w:r>
        <w:t xml:space="preserve">typical antipsychotics. Any </w:t>
      </w:r>
      <w:r w:rsidR="0071792B">
        <w:t>NBH</w:t>
      </w:r>
      <w:r>
        <w:t xml:space="preserve"> member over the age of 18 who is at risk for developing metabolic syndrome who is treated with atypical antipsychotics can be included.</w:t>
      </w:r>
    </w:p>
    <w:p w14:paraId="30CAA56F" w14:textId="77777777" w:rsidR="007F6C06" w:rsidRDefault="007F6C06">
      <w:pPr>
        <w:pStyle w:val="BodyText"/>
        <w:spacing w:before="3"/>
        <w:rPr>
          <w:sz w:val="17"/>
        </w:rPr>
      </w:pPr>
    </w:p>
    <w:p w14:paraId="69396525" w14:textId="77777777" w:rsidR="007F6C06" w:rsidRDefault="003A160F">
      <w:pPr>
        <w:pStyle w:val="Heading1"/>
        <w:rPr>
          <w:u w:val="none"/>
        </w:rPr>
      </w:pPr>
      <w:r>
        <w:rPr>
          <w:u w:val="thick"/>
        </w:rPr>
        <w:t>Frequency of Monitoring</w:t>
      </w:r>
    </w:p>
    <w:p w14:paraId="59EA23C4" w14:textId="77777777" w:rsidR="007F6C06" w:rsidRDefault="007F6C06">
      <w:pPr>
        <w:pStyle w:val="BodyText"/>
        <w:spacing w:before="2"/>
        <w:rPr>
          <w:b/>
          <w:sz w:val="15"/>
        </w:rPr>
      </w:pPr>
    </w:p>
    <w:p w14:paraId="066B028E" w14:textId="31776B08" w:rsidR="007F6C06" w:rsidRDefault="003A160F">
      <w:pPr>
        <w:pStyle w:val="BodyText"/>
        <w:spacing w:before="65"/>
        <w:ind w:left="219"/>
      </w:pPr>
      <w:r>
        <w:rPr>
          <w:u w:val="single"/>
        </w:rPr>
        <w:t>Table 1: Guidelines for Monitoring Metabolic Syndrome for pati</w:t>
      </w:r>
      <w:r>
        <w:rPr>
          <w:u w:val="single"/>
        </w:rPr>
        <w:t>ents on Atypical antipsychotics</w:t>
      </w:r>
    </w:p>
    <w:p w14:paraId="524DA7B9" w14:textId="77777777" w:rsidR="007F6C06" w:rsidRDefault="007F6C06">
      <w:pPr>
        <w:pStyle w:val="BodyText"/>
        <w:spacing w:before="1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296"/>
        <w:gridCol w:w="1094"/>
        <w:gridCol w:w="1128"/>
        <w:gridCol w:w="1145"/>
        <w:gridCol w:w="1133"/>
        <w:gridCol w:w="2194"/>
      </w:tblGrid>
      <w:tr w:rsidR="007F6C06" w14:paraId="1B538237" w14:textId="77777777">
        <w:trPr>
          <w:trHeight w:val="537"/>
        </w:trPr>
        <w:tc>
          <w:tcPr>
            <w:tcW w:w="1658" w:type="dxa"/>
          </w:tcPr>
          <w:p w14:paraId="08284F82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0D7EE5E7" w14:textId="77777777" w:rsidR="007F6C06" w:rsidRDefault="003A160F">
            <w:pPr>
              <w:pStyle w:val="TableParagraph"/>
              <w:spacing w:line="265" w:lineRule="exact"/>
              <w:ind w:left="108"/>
              <w:jc w:val="left"/>
            </w:pPr>
            <w:r>
              <w:t>Baseline</w:t>
            </w:r>
          </w:p>
        </w:tc>
        <w:tc>
          <w:tcPr>
            <w:tcW w:w="1094" w:type="dxa"/>
          </w:tcPr>
          <w:p w14:paraId="584680D2" w14:textId="77777777" w:rsidR="007F6C06" w:rsidRDefault="003A160F">
            <w:pPr>
              <w:pStyle w:val="TableParagraph"/>
              <w:spacing w:line="265" w:lineRule="exact"/>
              <w:ind w:left="90" w:right="97"/>
            </w:pPr>
            <w:r>
              <w:t>Each Visit</w:t>
            </w:r>
          </w:p>
        </w:tc>
        <w:tc>
          <w:tcPr>
            <w:tcW w:w="1128" w:type="dxa"/>
          </w:tcPr>
          <w:p w14:paraId="23C8D115" w14:textId="77777777" w:rsidR="007F6C06" w:rsidRDefault="003A160F">
            <w:pPr>
              <w:pStyle w:val="TableParagraph"/>
              <w:spacing w:line="265" w:lineRule="exact"/>
              <w:ind w:left="242" w:right="232"/>
            </w:pPr>
            <w:r>
              <w:t>At 6</w:t>
            </w:r>
          </w:p>
          <w:p w14:paraId="6A09CF78" w14:textId="77777777" w:rsidR="007F6C06" w:rsidRDefault="003A160F">
            <w:pPr>
              <w:pStyle w:val="TableParagraph"/>
              <w:spacing w:line="252" w:lineRule="exact"/>
              <w:ind w:left="245" w:right="232"/>
            </w:pPr>
            <w:r>
              <w:t>Weeks</w:t>
            </w:r>
          </w:p>
        </w:tc>
        <w:tc>
          <w:tcPr>
            <w:tcW w:w="1145" w:type="dxa"/>
          </w:tcPr>
          <w:p w14:paraId="15691B51" w14:textId="77777777" w:rsidR="007F6C06" w:rsidRDefault="003A160F">
            <w:pPr>
              <w:pStyle w:val="TableParagraph"/>
              <w:spacing w:line="265" w:lineRule="exact"/>
              <w:ind w:left="202" w:right="195"/>
            </w:pPr>
            <w:r>
              <w:t>At 3</w:t>
            </w:r>
          </w:p>
          <w:p w14:paraId="7C49BB67" w14:textId="77777777" w:rsidR="007F6C06" w:rsidRDefault="003A160F">
            <w:pPr>
              <w:pStyle w:val="TableParagraph"/>
              <w:spacing w:line="252" w:lineRule="exact"/>
              <w:ind w:left="205" w:right="195"/>
            </w:pPr>
            <w:r>
              <w:t>Months</w:t>
            </w:r>
          </w:p>
        </w:tc>
        <w:tc>
          <w:tcPr>
            <w:tcW w:w="1133" w:type="dxa"/>
          </w:tcPr>
          <w:p w14:paraId="33A75B79" w14:textId="77777777" w:rsidR="007F6C06" w:rsidRDefault="003A160F">
            <w:pPr>
              <w:pStyle w:val="TableParagraph"/>
              <w:spacing w:line="265" w:lineRule="exact"/>
              <w:ind w:left="197" w:right="188"/>
            </w:pPr>
            <w:r>
              <w:t>At 12</w:t>
            </w:r>
          </w:p>
          <w:p w14:paraId="366D10F1" w14:textId="77777777" w:rsidR="007F6C06" w:rsidRDefault="003A160F">
            <w:pPr>
              <w:pStyle w:val="TableParagraph"/>
              <w:spacing w:line="252" w:lineRule="exact"/>
              <w:ind w:left="200" w:right="188"/>
            </w:pPr>
            <w:r>
              <w:t>Months</w:t>
            </w:r>
          </w:p>
        </w:tc>
        <w:tc>
          <w:tcPr>
            <w:tcW w:w="2194" w:type="dxa"/>
          </w:tcPr>
          <w:p w14:paraId="112FBB2E" w14:textId="77777777" w:rsidR="007F6C06" w:rsidRDefault="003A160F">
            <w:pPr>
              <w:pStyle w:val="TableParagraph"/>
              <w:spacing w:line="265" w:lineRule="exact"/>
              <w:ind w:left="208" w:right="202"/>
            </w:pPr>
            <w:r>
              <w:t>Annually (after first</w:t>
            </w:r>
          </w:p>
          <w:p w14:paraId="6F2C8E14" w14:textId="77777777" w:rsidR="007F6C06" w:rsidRDefault="003A160F">
            <w:pPr>
              <w:pStyle w:val="TableParagraph"/>
              <w:spacing w:line="252" w:lineRule="exact"/>
              <w:ind w:left="208" w:right="197"/>
            </w:pPr>
            <w:r>
              <w:t>12 months)</w:t>
            </w:r>
          </w:p>
        </w:tc>
      </w:tr>
      <w:tr w:rsidR="007F6C06" w14:paraId="0C109626" w14:textId="77777777">
        <w:trPr>
          <w:trHeight w:val="537"/>
        </w:trPr>
        <w:tc>
          <w:tcPr>
            <w:tcW w:w="1658" w:type="dxa"/>
          </w:tcPr>
          <w:p w14:paraId="6DB72FA6" w14:textId="77777777" w:rsidR="007F6C06" w:rsidRDefault="003A160F">
            <w:pPr>
              <w:pStyle w:val="TableParagraph"/>
              <w:spacing w:line="265" w:lineRule="exact"/>
              <w:ind w:left="107"/>
              <w:jc w:val="left"/>
            </w:pPr>
            <w:r>
              <w:t>Personal/Family</w:t>
            </w:r>
          </w:p>
          <w:p w14:paraId="27ABF1EF" w14:textId="77777777" w:rsidR="007F6C06" w:rsidRDefault="003A160F">
            <w:pPr>
              <w:pStyle w:val="TableParagraph"/>
              <w:spacing w:line="252" w:lineRule="exact"/>
              <w:ind w:left="107"/>
              <w:jc w:val="left"/>
            </w:pP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History</w:t>
            </w:r>
          </w:p>
        </w:tc>
        <w:tc>
          <w:tcPr>
            <w:tcW w:w="1296" w:type="dxa"/>
          </w:tcPr>
          <w:p w14:paraId="0A6D36C5" w14:textId="77777777" w:rsidR="007F6C06" w:rsidRDefault="003A160F">
            <w:pPr>
              <w:pStyle w:val="TableParagraph"/>
              <w:ind w:right="174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094" w:type="dxa"/>
          </w:tcPr>
          <w:p w14:paraId="1ADAC7FC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5636CCA9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0F565F7E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F9A0E0E" w14:textId="77777777" w:rsidR="007F6C06" w:rsidRDefault="003A160F">
            <w:pPr>
              <w:pStyle w:val="TableParagraph"/>
              <w:ind w:right="11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2194" w:type="dxa"/>
          </w:tcPr>
          <w:p w14:paraId="541A3282" w14:textId="77777777" w:rsidR="007F6C06" w:rsidRDefault="003A160F">
            <w:pPr>
              <w:pStyle w:val="TableParagraph"/>
              <w:spacing w:line="270" w:lineRule="exact"/>
              <w:ind w:right="91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</w:tr>
      <w:tr w:rsidR="007F6C06" w14:paraId="43B4C2C1" w14:textId="77777777">
        <w:trPr>
          <w:trHeight w:val="508"/>
        </w:trPr>
        <w:tc>
          <w:tcPr>
            <w:tcW w:w="1658" w:type="dxa"/>
          </w:tcPr>
          <w:p w14:paraId="735CD903" w14:textId="77777777" w:rsidR="007F6C06" w:rsidRDefault="003A160F">
            <w:pPr>
              <w:pStyle w:val="TableParagraph"/>
              <w:spacing w:line="265" w:lineRule="exact"/>
              <w:ind w:left="107"/>
              <w:jc w:val="left"/>
            </w:pPr>
            <w:r>
              <w:t>Weight (BMI)</w:t>
            </w:r>
          </w:p>
        </w:tc>
        <w:tc>
          <w:tcPr>
            <w:tcW w:w="1296" w:type="dxa"/>
          </w:tcPr>
          <w:p w14:paraId="4BFE448C" w14:textId="77777777" w:rsidR="007F6C06" w:rsidRDefault="003A160F">
            <w:pPr>
              <w:pStyle w:val="TableParagraph"/>
              <w:ind w:right="174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094" w:type="dxa"/>
          </w:tcPr>
          <w:p w14:paraId="74987D75" w14:textId="77777777" w:rsidR="007F6C06" w:rsidRDefault="003A160F">
            <w:pPr>
              <w:pStyle w:val="TableParagraph"/>
              <w:ind w:left="2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28" w:type="dxa"/>
          </w:tcPr>
          <w:p w14:paraId="1911E01A" w14:textId="77777777" w:rsidR="007F6C06" w:rsidRDefault="003A160F">
            <w:pPr>
              <w:pStyle w:val="TableParagraph"/>
              <w:ind w:right="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45" w:type="dxa"/>
          </w:tcPr>
          <w:p w14:paraId="5DCEFCD1" w14:textId="77777777" w:rsidR="007F6C06" w:rsidRDefault="003A160F">
            <w:pPr>
              <w:pStyle w:val="TableParagraph"/>
              <w:ind w:left="468"/>
              <w:jc w:val="lef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33" w:type="dxa"/>
          </w:tcPr>
          <w:p w14:paraId="68C5C0AE" w14:textId="77777777" w:rsidR="007F6C06" w:rsidRDefault="003A160F">
            <w:pPr>
              <w:pStyle w:val="TableParagraph"/>
              <w:ind w:right="11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2194" w:type="dxa"/>
          </w:tcPr>
          <w:p w14:paraId="057DBC7D" w14:textId="77777777" w:rsidR="007F6C06" w:rsidRDefault="003A160F">
            <w:pPr>
              <w:pStyle w:val="TableParagraph"/>
              <w:spacing w:line="270" w:lineRule="exact"/>
              <w:ind w:right="91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</w:tr>
      <w:tr w:rsidR="007F6C06" w14:paraId="01C88BA4" w14:textId="77777777">
        <w:trPr>
          <w:trHeight w:val="537"/>
        </w:trPr>
        <w:tc>
          <w:tcPr>
            <w:tcW w:w="1658" w:type="dxa"/>
          </w:tcPr>
          <w:p w14:paraId="08A03A90" w14:textId="77777777" w:rsidR="007F6C06" w:rsidRDefault="003A160F">
            <w:pPr>
              <w:pStyle w:val="TableParagraph"/>
              <w:spacing w:line="265" w:lineRule="exact"/>
              <w:ind w:left="107"/>
              <w:jc w:val="left"/>
            </w:pPr>
            <w:r>
              <w:t>Waist</w:t>
            </w:r>
          </w:p>
          <w:p w14:paraId="05F34EA1" w14:textId="77777777" w:rsidR="007F6C06" w:rsidRDefault="003A160F">
            <w:pPr>
              <w:pStyle w:val="TableParagraph"/>
              <w:spacing w:line="252" w:lineRule="exact"/>
              <w:ind w:left="107"/>
              <w:jc w:val="left"/>
            </w:pPr>
            <w:r>
              <w:t>Circumference</w:t>
            </w:r>
          </w:p>
        </w:tc>
        <w:tc>
          <w:tcPr>
            <w:tcW w:w="1296" w:type="dxa"/>
          </w:tcPr>
          <w:p w14:paraId="621C1F53" w14:textId="77777777" w:rsidR="007F6C06" w:rsidRDefault="003A160F">
            <w:pPr>
              <w:pStyle w:val="TableParagraph"/>
              <w:ind w:right="174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094" w:type="dxa"/>
          </w:tcPr>
          <w:p w14:paraId="6BEA8CC4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20271E56" w14:textId="77777777" w:rsidR="007F6C06" w:rsidRDefault="003A160F">
            <w:pPr>
              <w:pStyle w:val="TableParagraph"/>
              <w:ind w:right="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45" w:type="dxa"/>
          </w:tcPr>
          <w:p w14:paraId="17C388B6" w14:textId="77777777" w:rsidR="007F6C06" w:rsidRDefault="003A160F">
            <w:pPr>
              <w:pStyle w:val="TableParagraph"/>
              <w:spacing w:line="270" w:lineRule="exact"/>
              <w:ind w:left="468"/>
              <w:jc w:val="lef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33" w:type="dxa"/>
          </w:tcPr>
          <w:p w14:paraId="43605BD3" w14:textId="77777777" w:rsidR="007F6C06" w:rsidRDefault="003A160F">
            <w:pPr>
              <w:pStyle w:val="TableParagraph"/>
              <w:ind w:right="11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2194" w:type="dxa"/>
          </w:tcPr>
          <w:p w14:paraId="62AF7FD9" w14:textId="77777777" w:rsidR="007F6C06" w:rsidRDefault="003A160F">
            <w:pPr>
              <w:pStyle w:val="TableParagraph"/>
              <w:spacing w:line="270" w:lineRule="exact"/>
              <w:ind w:right="91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</w:tr>
      <w:tr w:rsidR="007F6C06" w14:paraId="0FCBC8C2" w14:textId="77777777">
        <w:trPr>
          <w:trHeight w:val="537"/>
        </w:trPr>
        <w:tc>
          <w:tcPr>
            <w:tcW w:w="1658" w:type="dxa"/>
          </w:tcPr>
          <w:p w14:paraId="05A1C3F6" w14:textId="77777777" w:rsidR="007F6C06" w:rsidRDefault="003A160F">
            <w:pPr>
              <w:pStyle w:val="TableParagraph"/>
              <w:spacing w:line="265" w:lineRule="exact"/>
              <w:ind w:left="107"/>
              <w:jc w:val="left"/>
            </w:pPr>
            <w:r>
              <w:t>Blood Pressure</w:t>
            </w:r>
          </w:p>
          <w:p w14:paraId="29E75C62" w14:textId="77777777" w:rsidR="007F6C06" w:rsidRDefault="003A160F">
            <w:pPr>
              <w:pStyle w:val="TableParagraph"/>
              <w:spacing w:line="252" w:lineRule="exact"/>
              <w:ind w:left="107"/>
              <w:jc w:val="left"/>
            </w:pPr>
            <w:r>
              <w:t>and Pulse</w:t>
            </w:r>
          </w:p>
        </w:tc>
        <w:tc>
          <w:tcPr>
            <w:tcW w:w="1296" w:type="dxa"/>
          </w:tcPr>
          <w:p w14:paraId="2BCFE5EC" w14:textId="77777777" w:rsidR="007F6C06" w:rsidRDefault="003A160F">
            <w:pPr>
              <w:pStyle w:val="TableParagraph"/>
              <w:ind w:right="174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094" w:type="dxa"/>
          </w:tcPr>
          <w:p w14:paraId="61B46084" w14:textId="77777777" w:rsidR="007F6C06" w:rsidRDefault="003A160F">
            <w:pPr>
              <w:pStyle w:val="TableParagraph"/>
              <w:ind w:left="2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28" w:type="dxa"/>
          </w:tcPr>
          <w:p w14:paraId="5FE79EFA" w14:textId="77777777" w:rsidR="007F6C06" w:rsidRDefault="003A160F">
            <w:pPr>
              <w:pStyle w:val="TableParagraph"/>
              <w:spacing w:line="270" w:lineRule="exact"/>
              <w:ind w:right="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45" w:type="dxa"/>
          </w:tcPr>
          <w:p w14:paraId="53CAB815" w14:textId="77777777" w:rsidR="007F6C06" w:rsidRDefault="003A160F">
            <w:pPr>
              <w:pStyle w:val="TableParagraph"/>
              <w:ind w:left="468"/>
              <w:jc w:val="lef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33" w:type="dxa"/>
          </w:tcPr>
          <w:p w14:paraId="2304E09C" w14:textId="77777777" w:rsidR="007F6C06" w:rsidRDefault="003A160F">
            <w:pPr>
              <w:pStyle w:val="TableParagraph"/>
              <w:ind w:right="11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2194" w:type="dxa"/>
          </w:tcPr>
          <w:p w14:paraId="0D29987E" w14:textId="77777777" w:rsidR="007F6C06" w:rsidRDefault="003A160F">
            <w:pPr>
              <w:pStyle w:val="TableParagraph"/>
              <w:spacing w:line="270" w:lineRule="exact"/>
              <w:ind w:right="91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</w:tr>
      <w:tr w:rsidR="007F6C06" w14:paraId="6F020A4A" w14:textId="77777777">
        <w:trPr>
          <w:trHeight w:val="806"/>
        </w:trPr>
        <w:tc>
          <w:tcPr>
            <w:tcW w:w="1658" w:type="dxa"/>
          </w:tcPr>
          <w:p w14:paraId="17E169AF" w14:textId="77777777" w:rsidR="007F6C06" w:rsidRDefault="003A160F">
            <w:pPr>
              <w:pStyle w:val="TableParagraph"/>
              <w:spacing w:line="240" w:lineRule="auto"/>
              <w:ind w:left="107" w:right="126"/>
              <w:jc w:val="left"/>
            </w:pPr>
            <w:r>
              <w:t>Fasting Glucose or Hemoglobin</w:t>
            </w:r>
          </w:p>
          <w:p w14:paraId="3DA022AF" w14:textId="77777777" w:rsidR="007F6C06" w:rsidRDefault="003A160F">
            <w:pPr>
              <w:pStyle w:val="TableParagraph"/>
              <w:spacing w:line="252" w:lineRule="exact"/>
              <w:ind w:left="107"/>
              <w:jc w:val="left"/>
            </w:pPr>
            <w:r>
              <w:t>A1c</w:t>
            </w:r>
          </w:p>
        </w:tc>
        <w:tc>
          <w:tcPr>
            <w:tcW w:w="1296" w:type="dxa"/>
          </w:tcPr>
          <w:p w14:paraId="435F71AF" w14:textId="77777777" w:rsidR="007F6C06" w:rsidRDefault="003A160F">
            <w:pPr>
              <w:pStyle w:val="TableParagraph"/>
              <w:ind w:right="174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094" w:type="dxa"/>
          </w:tcPr>
          <w:p w14:paraId="3F9925CF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714C4ADE" w14:textId="77777777" w:rsidR="007F6C06" w:rsidRDefault="003A160F">
            <w:pPr>
              <w:pStyle w:val="TableParagraph"/>
              <w:spacing w:line="270" w:lineRule="exact"/>
              <w:ind w:right="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45" w:type="dxa"/>
          </w:tcPr>
          <w:p w14:paraId="16E10A3B" w14:textId="77777777" w:rsidR="007F6C06" w:rsidRDefault="003A160F">
            <w:pPr>
              <w:pStyle w:val="TableParagraph"/>
              <w:ind w:left="468"/>
              <w:jc w:val="lef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33" w:type="dxa"/>
          </w:tcPr>
          <w:p w14:paraId="52523C58" w14:textId="77777777" w:rsidR="007F6C06" w:rsidRDefault="003A160F">
            <w:pPr>
              <w:pStyle w:val="TableParagraph"/>
              <w:ind w:right="11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2194" w:type="dxa"/>
          </w:tcPr>
          <w:p w14:paraId="37E1DDAD" w14:textId="77777777" w:rsidR="007F6C06" w:rsidRDefault="003A160F">
            <w:pPr>
              <w:pStyle w:val="TableParagraph"/>
              <w:spacing w:line="270" w:lineRule="exact"/>
              <w:ind w:right="91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</w:tr>
      <w:tr w:rsidR="007F6C06" w14:paraId="3C4E553B" w14:textId="77777777">
        <w:trPr>
          <w:trHeight w:val="537"/>
        </w:trPr>
        <w:tc>
          <w:tcPr>
            <w:tcW w:w="1658" w:type="dxa"/>
          </w:tcPr>
          <w:p w14:paraId="3C51ADEC" w14:textId="77777777" w:rsidR="007F6C06" w:rsidRDefault="003A160F">
            <w:pPr>
              <w:pStyle w:val="TableParagraph"/>
              <w:spacing w:line="265" w:lineRule="exact"/>
              <w:ind w:left="107"/>
              <w:jc w:val="left"/>
            </w:pPr>
            <w:r>
              <w:t>Fasting Lipid</w:t>
            </w:r>
          </w:p>
          <w:p w14:paraId="248A0616" w14:textId="77777777" w:rsidR="007F6C06" w:rsidRDefault="003A160F">
            <w:pPr>
              <w:pStyle w:val="TableParagraph"/>
              <w:spacing w:line="252" w:lineRule="exact"/>
              <w:ind w:left="107"/>
              <w:jc w:val="left"/>
            </w:pPr>
            <w:r>
              <w:t>Profile</w:t>
            </w:r>
          </w:p>
        </w:tc>
        <w:tc>
          <w:tcPr>
            <w:tcW w:w="1296" w:type="dxa"/>
          </w:tcPr>
          <w:p w14:paraId="5E183B2E" w14:textId="77777777" w:rsidR="007F6C06" w:rsidRDefault="003A160F">
            <w:pPr>
              <w:pStyle w:val="TableParagraph"/>
              <w:ind w:right="174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094" w:type="dxa"/>
          </w:tcPr>
          <w:p w14:paraId="62A32E99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293F8A16" w14:textId="77777777" w:rsidR="007F6C06" w:rsidRDefault="007F6C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05A1340E" w14:textId="77777777" w:rsidR="007F6C06" w:rsidRDefault="003A160F">
            <w:pPr>
              <w:pStyle w:val="TableParagraph"/>
              <w:ind w:left="468"/>
              <w:jc w:val="lef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1133" w:type="dxa"/>
          </w:tcPr>
          <w:p w14:paraId="1456AA32" w14:textId="77777777" w:rsidR="007F6C06" w:rsidRDefault="003A160F">
            <w:pPr>
              <w:pStyle w:val="TableParagraph"/>
              <w:spacing w:line="270" w:lineRule="exact"/>
              <w:ind w:right="11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  <w:tc>
          <w:tcPr>
            <w:tcW w:w="2194" w:type="dxa"/>
          </w:tcPr>
          <w:p w14:paraId="5BCC00FA" w14:textId="77777777" w:rsidR="007F6C06" w:rsidRDefault="003A160F">
            <w:pPr>
              <w:pStyle w:val="TableParagraph"/>
              <w:ind w:right="91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78"/>
              </w:rPr>
              <w:t>✓</w:t>
            </w:r>
          </w:p>
        </w:tc>
      </w:tr>
    </w:tbl>
    <w:p w14:paraId="42BCE1E5" w14:textId="77777777" w:rsidR="007F6C06" w:rsidRDefault="007F6C06">
      <w:pPr>
        <w:pStyle w:val="BodyText"/>
        <w:spacing w:before="6"/>
        <w:rPr>
          <w:rFonts w:ascii="Calibri"/>
          <w:i/>
          <w:sz w:val="20"/>
        </w:rPr>
      </w:pPr>
    </w:p>
    <w:p w14:paraId="6332F345" w14:textId="77777777" w:rsidR="007F6C06" w:rsidRDefault="003A160F">
      <w:pPr>
        <w:pStyle w:val="Heading1"/>
        <w:rPr>
          <w:u w:val="none"/>
        </w:rPr>
      </w:pPr>
      <w:r>
        <w:rPr>
          <w:u w:val="thick"/>
        </w:rPr>
        <w:t>Conditions</w:t>
      </w:r>
    </w:p>
    <w:p w14:paraId="34AB792E" w14:textId="77777777" w:rsidR="007F6C06" w:rsidRDefault="007F6C06">
      <w:pPr>
        <w:pStyle w:val="BodyText"/>
        <w:spacing w:before="3"/>
        <w:rPr>
          <w:b/>
        </w:rPr>
      </w:pPr>
    </w:p>
    <w:p w14:paraId="3154AEC1" w14:textId="77777777" w:rsidR="007F6C06" w:rsidRDefault="003A160F">
      <w:pPr>
        <w:pStyle w:val="BodyText"/>
        <w:spacing w:before="65" w:line="252" w:lineRule="exact"/>
        <w:ind w:left="219"/>
      </w:pPr>
      <w:r>
        <w:t>All patients on atypical medications should be screened as indicated in the Table above.</w:t>
      </w:r>
    </w:p>
    <w:p w14:paraId="18C1022D" w14:textId="77777777" w:rsidR="007F6C06" w:rsidRDefault="003A160F">
      <w:pPr>
        <w:pStyle w:val="BodyText"/>
        <w:ind w:left="219" w:right="310"/>
      </w:pPr>
      <w:r>
        <w:t xml:space="preserve">Given the serious health risks, patients taking atypical antipsychotics should receive appropriate baseline screening and ongoing monitoring. Clinicians who prescribe </w:t>
      </w:r>
      <w:r>
        <w:t>atypical antipsychotics for</w:t>
      </w:r>
    </w:p>
    <w:p w14:paraId="3F7D2694" w14:textId="77777777" w:rsidR="007F6C06" w:rsidRDefault="007F6C06">
      <w:pPr>
        <w:sectPr w:rsidR="007F6C06">
          <w:headerReference w:type="default" r:id="rId8"/>
          <w:type w:val="continuous"/>
          <w:pgSz w:w="12240" w:h="15840"/>
          <w:pgMar w:top="1960" w:right="1140" w:bottom="280" w:left="1220" w:header="730" w:footer="720" w:gutter="0"/>
          <w:cols w:space="720"/>
        </w:sectPr>
      </w:pPr>
    </w:p>
    <w:p w14:paraId="3F3DD861" w14:textId="77777777" w:rsidR="007F6C06" w:rsidRDefault="003A160F">
      <w:pPr>
        <w:pStyle w:val="BodyText"/>
        <w:ind w:left="219" w:right="396"/>
      </w:pPr>
      <w:r>
        <w:lastRenderedPageBreak/>
        <w:t xml:space="preserve">patients with psychiatric illnesses should have the capability of determining a patient’s height and weight (BMI) and waist circumference. These values should be recorded and tracked for the duration of treatment. Clinicians should also encourage patients </w:t>
      </w:r>
      <w:r>
        <w:t xml:space="preserve">to monitor and chart their own weight. It is particularly important to monitor any alteration in weight following a medication change. The patients’ psychiatric illness should not discourage clinicians from addressing the metabolic complications for which </w:t>
      </w:r>
      <w:r>
        <w:t>these patients are at increased risk.</w:t>
      </w:r>
    </w:p>
    <w:p w14:paraId="42A2C832" w14:textId="77777777" w:rsidR="007F6C06" w:rsidRDefault="007F6C06">
      <w:pPr>
        <w:pStyle w:val="BodyText"/>
        <w:spacing w:before="1"/>
        <w:rPr>
          <w:sz w:val="24"/>
        </w:rPr>
      </w:pPr>
    </w:p>
    <w:p w14:paraId="79E70086" w14:textId="77777777" w:rsidR="007F6C06" w:rsidRDefault="003A160F">
      <w:pPr>
        <w:pStyle w:val="Heading1"/>
        <w:rPr>
          <w:u w:val="none"/>
        </w:rPr>
      </w:pPr>
      <w:r>
        <w:rPr>
          <w:u w:val="thick"/>
        </w:rPr>
        <w:t>Practitioner Input</w:t>
      </w:r>
    </w:p>
    <w:p w14:paraId="2E0C1722" w14:textId="77777777" w:rsidR="007F6C06" w:rsidRDefault="007F6C06">
      <w:pPr>
        <w:pStyle w:val="BodyText"/>
        <w:spacing w:before="11"/>
        <w:rPr>
          <w:b/>
          <w:sz w:val="18"/>
        </w:rPr>
      </w:pPr>
    </w:p>
    <w:p w14:paraId="20E02FF9" w14:textId="23E5BDCB" w:rsidR="007F6C06" w:rsidRDefault="003A160F">
      <w:pPr>
        <w:pStyle w:val="BodyText"/>
        <w:spacing w:before="64"/>
        <w:ind w:left="219" w:right="995"/>
      </w:pPr>
      <w:r>
        <w:t xml:space="preserve">Practitioner input on </w:t>
      </w:r>
      <w:r w:rsidR="0071792B">
        <w:t>NBH</w:t>
      </w:r>
      <w:r>
        <w:t xml:space="preserve">’s Metabolic Syndrome Program is acquired through the Quality </w:t>
      </w:r>
      <w:r w:rsidR="0071792B">
        <w:t>Improvement</w:t>
      </w:r>
      <w:r>
        <w:t xml:space="preserve"> Committee and consultation with network psychiatrists.</w:t>
      </w:r>
    </w:p>
    <w:p w14:paraId="539D14E9" w14:textId="77777777" w:rsidR="007F6C06" w:rsidRDefault="007F6C06">
      <w:pPr>
        <w:pStyle w:val="BodyText"/>
        <w:spacing w:before="3"/>
        <w:rPr>
          <w:sz w:val="24"/>
        </w:rPr>
      </w:pPr>
    </w:p>
    <w:p w14:paraId="4C3803FD" w14:textId="77777777" w:rsidR="007F6C06" w:rsidRDefault="003A160F">
      <w:pPr>
        <w:pStyle w:val="Heading1"/>
        <w:rPr>
          <w:u w:val="none"/>
        </w:rPr>
      </w:pPr>
      <w:r>
        <w:rPr>
          <w:u w:val="thick"/>
        </w:rPr>
        <w:t>Promotion</w:t>
      </w:r>
    </w:p>
    <w:p w14:paraId="1BFDD67B" w14:textId="77777777" w:rsidR="007F6C06" w:rsidRDefault="007F6C06">
      <w:pPr>
        <w:pStyle w:val="BodyText"/>
        <w:spacing w:before="11"/>
        <w:rPr>
          <w:b/>
          <w:sz w:val="18"/>
        </w:rPr>
      </w:pPr>
    </w:p>
    <w:p w14:paraId="7419F0CA" w14:textId="04FE9C14" w:rsidR="007F6C06" w:rsidRDefault="0071792B">
      <w:pPr>
        <w:pStyle w:val="BodyText"/>
        <w:spacing w:before="64"/>
        <w:ind w:left="219" w:right="604"/>
      </w:pPr>
      <w:r>
        <w:t>NBH</w:t>
      </w:r>
      <w:r w:rsidR="003A160F">
        <w:t xml:space="preserve">’s Metabolic Screening Program is promoted to practitioners via the </w:t>
      </w:r>
      <w:r>
        <w:t>NBH</w:t>
      </w:r>
      <w:r w:rsidR="003A160F">
        <w:t xml:space="preserve"> website, where the table may be accessed freely by both members and providers. </w:t>
      </w:r>
    </w:p>
    <w:p w14:paraId="36B667BC" w14:textId="77777777" w:rsidR="00FA5104" w:rsidRDefault="00FA5104">
      <w:pPr>
        <w:pStyle w:val="BodyText"/>
        <w:spacing w:before="64"/>
        <w:ind w:left="219" w:right="604"/>
      </w:pPr>
    </w:p>
    <w:p w14:paraId="599DDB1A" w14:textId="7C62E418" w:rsidR="00FA5104" w:rsidRDefault="00FA5104" w:rsidP="00FA5104">
      <w:pPr>
        <w:pStyle w:val="Heading1"/>
      </w:pPr>
      <w:r>
        <w:rPr>
          <w:u w:val="thick"/>
        </w:rPr>
        <w:t>References</w:t>
      </w:r>
    </w:p>
    <w:p w14:paraId="01E89811" w14:textId="77777777" w:rsidR="00FA5104" w:rsidRPr="00FA5104" w:rsidRDefault="00FA5104" w:rsidP="00FA5104">
      <w:pPr>
        <w:pStyle w:val="BodyText"/>
        <w:numPr>
          <w:ilvl w:val="0"/>
          <w:numId w:val="1"/>
        </w:numPr>
        <w:spacing w:before="64"/>
        <w:ind w:right="604"/>
      </w:pPr>
      <w:r w:rsidRPr="00FA5104">
        <w:t>Roberts E, Jones L, Blackman A, et al.  </w:t>
      </w:r>
      <w:hyperlink r:id="rId9" w:history="1">
        <w:r w:rsidRPr="00FA5104">
          <w:rPr>
            <w:rStyle w:val="Hyperlink"/>
          </w:rPr>
          <w:t>The prevalence of diabetes mellitus and abnormal glucose metabolism in the inpatient setting: a systematic review and meta-analysis</w:t>
        </w:r>
      </w:hyperlink>
      <w:r w:rsidRPr="00FA5104">
        <w:t> [published online January 11, 2017]. </w:t>
      </w:r>
      <w:r w:rsidRPr="00FA5104">
        <w:rPr>
          <w:i/>
          <w:iCs/>
        </w:rPr>
        <w:t>Gen Hosp Psychiatry</w:t>
      </w:r>
      <w:r w:rsidRPr="00FA5104">
        <w:t> </w:t>
      </w:r>
      <w:proofErr w:type="gramStart"/>
      <w:r w:rsidRPr="00FA5104">
        <w:t>doi:10.1016/j.genhosppsych</w:t>
      </w:r>
      <w:proofErr w:type="gramEnd"/>
      <w:r w:rsidRPr="00FA5104">
        <w:t>.2017.01.003.</w:t>
      </w:r>
    </w:p>
    <w:p w14:paraId="531E79C0" w14:textId="77777777" w:rsidR="00FA5104" w:rsidRPr="00FA5104" w:rsidRDefault="00FA5104" w:rsidP="00FA5104">
      <w:pPr>
        <w:pStyle w:val="BodyText"/>
        <w:numPr>
          <w:ilvl w:val="0"/>
          <w:numId w:val="1"/>
        </w:numPr>
        <w:spacing w:before="64"/>
        <w:ind w:right="604"/>
      </w:pPr>
      <w:r w:rsidRPr="00FA5104">
        <w:t xml:space="preserve">Global status report on noncommunicable diseases 2014. </w:t>
      </w:r>
      <w:proofErr w:type="spellStart"/>
      <w:proofErr w:type="gramStart"/>
      <w:r w:rsidRPr="00FA5104">
        <w:t>Geneva:World</w:t>
      </w:r>
      <w:proofErr w:type="spellEnd"/>
      <w:proofErr w:type="gramEnd"/>
      <w:r w:rsidRPr="00FA5104">
        <w:t xml:space="preserve"> Health Organization; 2012. www.who.int/nmh/publications/ncd-status-report-2014/en/. Accessed June 30, 2017.</w:t>
      </w:r>
    </w:p>
    <w:p w14:paraId="53318FB8" w14:textId="77777777" w:rsidR="00FA5104" w:rsidRPr="00FA5104" w:rsidRDefault="00FA5104" w:rsidP="00FA5104">
      <w:pPr>
        <w:pStyle w:val="BodyText"/>
        <w:numPr>
          <w:ilvl w:val="0"/>
          <w:numId w:val="1"/>
        </w:numPr>
        <w:spacing w:before="64"/>
        <w:ind w:right="604"/>
      </w:pPr>
      <w:proofErr w:type="spellStart"/>
      <w:r w:rsidRPr="00FA5104">
        <w:t>Vancampfort</w:t>
      </w:r>
      <w:proofErr w:type="spellEnd"/>
      <w:r w:rsidRPr="00FA5104">
        <w:t xml:space="preserve"> D, </w:t>
      </w:r>
      <w:proofErr w:type="spellStart"/>
      <w:r w:rsidRPr="00FA5104">
        <w:t>Correll</w:t>
      </w:r>
      <w:proofErr w:type="spellEnd"/>
      <w:r w:rsidRPr="00FA5104">
        <w:t xml:space="preserve"> CU, Galling B, et al. </w:t>
      </w:r>
      <w:hyperlink r:id="rId10" w:history="1">
        <w:r w:rsidRPr="00FA5104">
          <w:rPr>
            <w:rStyle w:val="Hyperlink"/>
          </w:rPr>
          <w:t>Diabetes mellitus in people with schizophrenia, bipolar disorder and major depressive disorder: a systematic review and large scale meta-analysis</w:t>
        </w:r>
      </w:hyperlink>
      <w:r w:rsidRPr="00FA5104">
        <w:t>. </w:t>
      </w:r>
      <w:r w:rsidRPr="00FA5104">
        <w:rPr>
          <w:i/>
          <w:iCs/>
        </w:rPr>
        <w:t>World Psychiatry.</w:t>
      </w:r>
      <w:r w:rsidRPr="00FA5104">
        <w:t> 2016;15(2):166-174. doi:10.1002/wps.20309</w:t>
      </w:r>
    </w:p>
    <w:p w14:paraId="2F6375F0" w14:textId="77777777" w:rsidR="00FA5104" w:rsidRPr="00FA5104" w:rsidRDefault="00FA5104" w:rsidP="00FA5104">
      <w:pPr>
        <w:pStyle w:val="BodyText"/>
        <w:numPr>
          <w:ilvl w:val="0"/>
          <w:numId w:val="1"/>
        </w:numPr>
        <w:spacing w:before="64"/>
        <w:ind w:right="604"/>
      </w:pPr>
      <w:r w:rsidRPr="00FA5104">
        <w:t xml:space="preserve">Galling B, </w:t>
      </w:r>
      <w:proofErr w:type="spellStart"/>
      <w:r w:rsidRPr="00FA5104">
        <w:t>Roldán</w:t>
      </w:r>
      <w:proofErr w:type="spellEnd"/>
      <w:r w:rsidRPr="00FA5104">
        <w:t xml:space="preserve"> A, Nielsen RE, et al. </w:t>
      </w:r>
      <w:hyperlink r:id="rId11" w:history="1">
        <w:r w:rsidRPr="00FA5104">
          <w:rPr>
            <w:rStyle w:val="Hyperlink"/>
          </w:rPr>
          <w:t>Type 2 diabetes mellitus in youth exposed to antipsychotics: a systematic review and meta-analysis</w:t>
        </w:r>
      </w:hyperlink>
      <w:r w:rsidRPr="00FA5104">
        <w:rPr>
          <w:i/>
          <w:iCs/>
        </w:rPr>
        <w:t xml:space="preserve">. JAMA </w:t>
      </w:r>
      <w:proofErr w:type="spellStart"/>
      <w:r w:rsidRPr="00FA5104">
        <w:rPr>
          <w:i/>
          <w:iCs/>
        </w:rPr>
        <w:t>Psyc</w:t>
      </w:r>
      <w:bookmarkStart w:id="0" w:name="_GoBack"/>
      <w:bookmarkEnd w:id="0"/>
      <w:r w:rsidRPr="00FA5104">
        <w:rPr>
          <w:i/>
          <w:iCs/>
        </w:rPr>
        <w:t>hiat</w:t>
      </w:r>
      <w:proofErr w:type="spellEnd"/>
      <w:r w:rsidRPr="00FA5104">
        <w:t> 2016;73(3):247-259. doi:10.1001/jamapsychiatry.2015.2923.</w:t>
      </w:r>
    </w:p>
    <w:p w14:paraId="15B047D7" w14:textId="77777777" w:rsidR="00FA5104" w:rsidRPr="00FA5104" w:rsidRDefault="00FA5104" w:rsidP="00FA5104">
      <w:pPr>
        <w:pStyle w:val="BodyText"/>
        <w:numPr>
          <w:ilvl w:val="0"/>
          <w:numId w:val="1"/>
        </w:numPr>
        <w:spacing w:before="64"/>
        <w:ind w:right="604"/>
      </w:pPr>
      <w:r w:rsidRPr="00FA5104">
        <w:t xml:space="preserve">Leslie DL, </w:t>
      </w:r>
      <w:proofErr w:type="spellStart"/>
      <w:r w:rsidRPr="00FA5104">
        <w:t>Rosenheck</w:t>
      </w:r>
      <w:proofErr w:type="spellEnd"/>
      <w:r w:rsidRPr="00FA5104">
        <w:t xml:space="preserve"> RA. </w:t>
      </w:r>
      <w:hyperlink r:id="rId12" w:history="1">
        <w:r w:rsidRPr="00FA5104">
          <w:rPr>
            <w:rStyle w:val="Hyperlink"/>
          </w:rPr>
          <w:t>Incidence of newly diagnosed diabetes attributable to atypical antipsychotic medications</w:t>
        </w:r>
      </w:hyperlink>
      <w:r w:rsidRPr="00FA5104">
        <w:t>. </w:t>
      </w:r>
      <w:r w:rsidRPr="00FA5104">
        <w:rPr>
          <w:i/>
          <w:iCs/>
        </w:rPr>
        <w:t>Am J Psychiatry</w:t>
      </w:r>
      <w:r w:rsidRPr="00FA5104">
        <w:t> 2004;161(9):1709-1711. doi:10.1001/jamapsychiatry.2015.2923.</w:t>
      </w:r>
    </w:p>
    <w:p w14:paraId="3CE72CFF" w14:textId="77777777" w:rsidR="00FA5104" w:rsidRDefault="00FA5104">
      <w:pPr>
        <w:pStyle w:val="BodyText"/>
        <w:spacing w:before="64"/>
        <w:ind w:left="219" w:right="604"/>
      </w:pPr>
    </w:p>
    <w:sectPr w:rsidR="00FA5104">
      <w:pgSz w:w="12240" w:h="15840"/>
      <w:pgMar w:top="1960" w:right="1140" w:bottom="280" w:left="12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B86A9" w14:textId="77777777" w:rsidR="003A160F" w:rsidRDefault="003A160F">
      <w:r>
        <w:separator/>
      </w:r>
    </w:p>
  </w:endnote>
  <w:endnote w:type="continuationSeparator" w:id="0">
    <w:p w14:paraId="5D3E3507" w14:textId="77777777" w:rsidR="003A160F" w:rsidRDefault="003A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B37FF" w14:textId="77777777" w:rsidR="003A160F" w:rsidRDefault="003A160F">
      <w:r>
        <w:separator/>
      </w:r>
    </w:p>
  </w:footnote>
  <w:footnote w:type="continuationSeparator" w:id="0">
    <w:p w14:paraId="6425594E" w14:textId="77777777" w:rsidR="003A160F" w:rsidRDefault="003A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7723D" w14:textId="69628734" w:rsidR="007F6C06" w:rsidRDefault="007F6C0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D4AAA"/>
    <w:multiLevelType w:val="multilevel"/>
    <w:tmpl w:val="3136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C06"/>
    <w:rsid w:val="003A160F"/>
    <w:rsid w:val="0071792B"/>
    <w:rsid w:val="007F6C06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A21EC"/>
  <w15:docId w15:val="{AB427383-6A80-4A6B-93FD-2BC733C5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17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7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2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A51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ile/C:/Users/Sea%20Sprite/AppData/Local/Microsoft/Windows/Temporary%20Internet%20Files/Content.IE5/EJE0ZJFT/Incidence%20of%20newly%20diagnosed%20diabetes%20attributable%20to%20atypical%20antipsychotic%20med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amanetwork.com/journals/jamapsychiatry/fullarticle/24830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pmc/articles/PMC49117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hpjournal.com/article/S0163-8343(16)30210-9/full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723</Words>
  <Characters>3719</Characters>
  <Application>Microsoft Office Word</Application>
  <DocSecurity>0</DocSecurity>
  <Lines>161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 Dx Metabolic Syndrome.docx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Dx Metabolic Syndrome.docx</dc:title>
  <dc:creator>700666</dc:creator>
  <cp:lastModifiedBy>Dawnesha Powell</cp:lastModifiedBy>
  <cp:revision>2</cp:revision>
  <dcterms:created xsi:type="dcterms:W3CDTF">2020-02-26T20:53:00Z</dcterms:created>
  <dcterms:modified xsi:type="dcterms:W3CDTF">2020-02-26T21:24:00Z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2020-02-26T00:00:00Z</vt:filetime>
  </property>
</Properties>
</file>