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9046" w14:textId="77777777" w:rsidR="00CD1BAF" w:rsidRDefault="00CD1BAF" w:rsidP="00CD1BAF">
      <w:pPr>
        <w:spacing w:line="259" w:lineRule="auto"/>
        <w:ind w:right="-270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Nevada Behavioral Health Systems</w:t>
      </w:r>
      <w:r w:rsidRPr="00A857AD">
        <w:rPr>
          <w:rFonts w:eastAsia="Times New Roman"/>
          <w:sz w:val="24"/>
          <w:szCs w:val="24"/>
          <w:lang w:bidi="ar-SA"/>
        </w:rPr>
        <w:t xml:space="preserve"> (</w:t>
      </w:r>
      <w:r>
        <w:rPr>
          <w:rFonts w:eastAsia="Times New Roman"/>
          <w:sz w:val="24"/>
          <w:szCs w:val="24"/>
          <w:lang w:bidi="ar-SA"/>
        </w:rPr>
        <w:t>NBH</w:t>
      </w:r>
      <w:r w:rsidRPr="00A857AD">
        <w:rPr>
          <w:rFonts w:eastAsia="Times New Roman"/>
          <w:sz w:val="24"/>
          <w:szCs w:val="24"/>
          <w:lang w:bidi="ar-SA"/>
        </w:rPr>
        <w:t xml:space="preserve">) monitors compliance with clinical practice guidelines at least annually. For providers/practitioners not meeting the compliance goals, </w:t>
      </w:r>
      <w:r>
        <w:rPr>
          <w:rFonts w:eastAsia="Times New Roman"/>
          <w:sz w:val="24"/>
          <w:szCs w:val="24"/>
          <w:lang w:bidi="ar-SA"/>
        </w:rPr>
        <w:t>NBH</w:t>
      </w:r>
      <w:r w:rsidRPr="00A857AD">
        <w:rPr>
          <w:rFonts w:eastAsia="Times New Roman"/>
          <w:sz w:val="24"/>
          <w:szCs w:val="24"/>
          <w:lang w:bidi="ar-SA"/>
        </w:rPr>
        <w:t xml:space="preserve"> will provide </w:t>
      </w:r>
      <w:r>
        <w:rPr>
          <w:rFonts w:eastAsia="Times New Roman"/>
          <w:sz w:val="24"/>
          <w:szCs w:val="24"/>
          <w:lang w:bidi="ar-SA"/>
        </w:rPr>
        <w:t>education and training,</w:t>
      </w:r>
      <w:r w:rsidRPr="00A857AD">
        <w:rPr>
          <w:rFonts w:eastAsia="Times New Roman"/>
          <w:sz w:val="24"/>
          <w:szCs w:val="24"/>
          <w:lang w:bidi="ar-SA"/>
        </w:rPr>
        <w:t xml:space="preserve"> as well as reinforce the need for compliance.</w:t>
      </w:r>
    </w:p>
    <w:p w14:paraId="77EFB115" w14:textId="77777777" w:rsidR="00CD1BAF" w:rsidRDefault="00CD1BAF" w:rsidP="00CD1BAF">
      <w:pPr>
        <w:spacing w:line="259" w:lineRule="auto"/>
        <w:ind w:right="-270"/>
        <w:rPr>
          <w:rFonts w:eastAsia="Times New Roman"/>
          <w:sz w:val="24"/>
          <w:szCs w:val="24"/>
          <w:lang w:bidi="ar-SA"/>
        </w:rPr>
      </w:pPr>
    </w:p>
    <w:p w14:paraId="416962CC" w14:textId="77777777" w:rsidR="00CD1BAF" w:rsidRPr="00A857AD" w:rsidRDefault="00CD1BAF" w:rsidP="00CD1BAF">
      <w:pPr>
        <w:spacing w:line="259" w:lineRule="auto"/>
        <w:ind w:right="-270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NBH</w:t>
      </w:r>
      <w:r w:rsidRPr="00A857AD">
        <w:rPr>
          <w:rFonts w:eastAsia="Times New Roman"/>
          <w:sz w:val="24"/>
          <w:szCs w:val="24"/>
          <w:lang w:bidi="ar-SA"/>
        </w:rPr>
        <w:t xml:space="preserve"> monitors compliance in regard to the </w:t>
      </w:r>
      <w:r w:rsidRPr="00744C48">
        <w:rPr>
          <w:rFonts w:eastAsia="Times New Roman"/>
          <w:sz w:val="24"/>
          <w:szCs w:val="24"/>
          <w:lang w:bidi="ar-SA"/>
        </w:rPr>
        <w:t>Assessment and Treatment of Children and Adolescents with Post Traumatic Stress Disorder</w:t>
      </w:r>
      <w:r>
        <w:rPr>
          <w:rFonts w:eastAsia="Times New Roman"/>
          <w:sz w:val="24"/>
          <w:szCs w:val="24"/>
          <w:lang w:bidi="ar-SA"/>
        </w:rPr>
        <w:t xml:space="preserve"> </w:t>
      </w:r>
      <w:r w:rsidRPr="00A857AD">
        <w:rPr>
          <w:rFonts w:eastAsia="Times New Roman"/>
          <w:sz w:val="24"/>
          <w:szCs w:val="24"/>
          <w:lang w:bidi="ar-SA"/>
        </w:rPr>
        <w:t xml:space="preserve">by performing </w:t>
      </w:r>
      <w:r>
        <w:rPr>
          <w:rFonts w:eastAsia="Times New Roman"/>
          <w:sz w:val="24"/>
          <w:szCs w:val="24"/>
          <w:lang w:bidi="ar-SA"/>
        </w:rPr>
        <w:t>chart</w:t>
      </w:r>
      <w:r w:rsidRPr="00A857AD">
        <w:rPr>
          <w:rFonts w:eastAsia="Times New Roman"/>
          <w:sz w:val="24"/>
          <w:szCs w:val="24"/>
          <w:lang w:bidi="ar-SA"/>
        </w:rPr>
        <w:t xml:space="preserve"> audits utilizing a standard audit tool at least annually in an effort to monitor the </w:t>
      </w:r>
      <w:r>
        <w:rPr>
          <w:rFonts w:eastAsia="Times New Roman"/>
          <w:sz w:val="24"/>
          <w:szCs w:val="24"/>
          <w:lang w:bidi="ar-SA"/>
        </w:rPr>
        <w:t xml:space="preserve">documentation </w:t>
      </w:r>
      <w:r w:rsidRPr="00A857AD">
        <w:rPr>
          <w:rFonts w:eastAsia="Times New Roman"/>
          <w:sz w:val="24"/>
          <w:szCs w:val="24"/>
          <w:lang w:bidi="ar-SA"/>
        </w:rPr>
        <w:t>recommendations in the clinical guidelines. The goal for all providers/practitioners is 95%.</w:t>
      </w:r>
    </w:p>
    <w:p w14:paraId="030002CE" w14:textId="77777777" w:rsidR="00CD1BAF" w:rsidRDefault="00CD1BAF" w:rsidP="00CD1BAF">
      <w:pPr>
        <w:spacing w:before="160" w:line="259" w:lineRule="auto"/>
        <w:ind w:right="126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NBH</w:t>
      </w:r>
      <w:r w:rsidRPr="00A857AD">
        <w:rPr>
          <w:rFonts w:eastAsia="Times New Roman"/>
          <w:sz w:val="24"/>
          <w:szCs w:val="24"/>
          <w:lang w:bidi="ar-SA"/>
        </w:rPr>
        <w:t xml:space="preserve"> monitors compliance in regard to </w:t>
      </w:r>
      <w:r w:rsidRPr="00911D46">
        <w:rPr>
          <w:rFonts w:eastAsia="Times New Roman"/>
          <w:sz w:val="24"/>
          <w:szCs w:val="24"/>
          <w:lang w:bidi="ar-SA"/>
        </w:rPr>
        <w:t>Treatment of Patients with Major Depressive Disorder</w:t>
      </w:r>
      <w:r>
        <w:rPr>
          <w:rFonts w:eastAsia="Times New Roman"/>
          <w:sz w:val="24"/>
          <w:szCs w:val="24"/>
          <w:lang w:bidi="ar-SA"/>
        </w:rPr>
        <w:t>, Adults</w:t>
      </w:r>
      <w:r w:rsidRPr="00911D46">
        <w:rPr>
          <w:rFonts w:eastAsia="Times New Roman"/>
          <w:sz w:val="24"/>
          <w:szCs w:val="24"/>
          <w:lang w:bidi="ar-SA"/>
        </w:rPr>
        <w:t xml:space="preserve"> </w:t>
      </w:r>
      <w:r w:rsidRPr="00B97006">
        <w:rPr>
          <w:rFonts w:eastAsia="Times New Roman"/>
          <w:sz w:val="24"/>
          <w:szCs w:val="24"/>
          <w:lang w:bidi="ar-SA"/>
        </w:rPr>
        <w:t xml:space="preserve">by performing chart audits utilizing a standard audit tool at least annually in an effort to monitor the documentation recommendations in the clinical guidelines. </w:t>
      </w:r>
      <w:r w:rsidRPr="000B4058">
        <w:rPr>
          <w:rFonts w:eastAsia="Times New Roman"/>
          <w:sz w:val="24"/>
          <w:szCs w:val="24"/>
          <w:lang w:bidi="ar-SA"/>
        </w:rPr>
        <w:t>The goal for all providers/practitioners is 95%.</w:t>
      </w:r>
    </w:p>
    <w:p w14:paraId="32785262" w14:textId="07D3F3E2" w:rsidR="00CD1BAF" w:rsidRPr="00A857AD" w:rsidRDefault="00CD1BAF" w:rsidP="00CD1BAF">
      <w:pPr>
        <w:spacing w:before="159" w:line="259" w:lineRule="auto"/>
        <w:ind w:right="126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NBH</w:t>
      </w:r>
      <w:r w:rsidRPr="00A857AD">
        <w:rPr>
          <w:rFonts w:eastAsia="Times New Roman"/>
          <w:sz w:val="24"/>
          <w:szCs w:val="24"/>
          <w:lang w:bidi="ar-SA"/>
        </w:rPr>
        <w:t xml:space="preserve"> monitors compliance by their contracted providers/practitioners in regards to </w:t>
      </w:r>
      <w:r w:rsidRPr="009F1A16">
        <w:rPr>
          <w:rFonts w:eastAsia="Times New Roman"/>
          <w:sz w:val="24"/>
          <w:szCs w:val="24"/>
          <w:lang w:bidi="ar-SA"/>
        </w:rPr>
        <w:t>the Treatment of Opioid Use Disorder</w:t>
      </w:r>
      <w:r>
        <w:rPr>
          <w:rFonts w:eastAsia="Times New Roman"/>
          <w:sz w:val="24"/>
          <w:szCs w:val="24"/>
          <w:lang w:bidi="ar-SA"/>
        </w:rPr>
        <w:t>, Adults</w:t>
      </w:r>
      <w:r w:rsidRPr="00A857AD">
        <w:rPr>
          <w:rFonts w:eastAsia="Times New Roman"/>
          <w:sz w:val="24"/>
          <w:szCs w:val="24"/>
          <w:lang w:bidi="ar-SA"/>
        </w:rPr>
        <w:t xml:space="preserve"> by </w:t>
      </w:r>
      <w:r>
        <w:rPr>
          <w:rFonts w:eastAsia="Times New Roman"/>
          <w:sz w:val="24"/>
          <w:szCs w:val="24"/>
          <w:lang w:bidi="ar-SA"/>
        </w:rPr>
        <w:t>monitoring the results of the HEDIS Pharmacotherapy for Opioid Use Disorder (POD) and performing</w:t>
      </w:r>
      <w:r w:rsidRPr="00A857AD">
        <w:rPr>
          <w:rFonts w:eastAsia="Times New Roman"/>
          <w:sz w:val="24"/>
          <w:szCs w:val="24"/>
          <w:lang w:bidi="ar-SA"/>
        </w:rPr>
        <w:t xml:space="preserve"> chart audits of compliance with </w:t>
      </w:r>
      <w:r>
        <w:rPr>
          <w:rFonts w:eastAsia="Times New Roman"/>
          <w:sz w:val="24"/>
          <w:szCs w:val="24"/>
          <w:lang w:bidi="ar-SA"/>
        </w:rPr>
        <w:t>documentation recommendations for assessment, pharmacotherapy, and drug test monitoring. The goal for the HE</w:t>
      </w:r>
      <w:r w:rsidR="0053172A">
        <w:rPr>
          <w:rFonts w:eastAsia="Times New Roman"/>
          <w:sz w:val="24"/>
          <w:szCs w:val="24"/>
          <w:lang w:bidi="ar-SA"/>
        </w:rPr>
        <w:t>D</w:t>
      </w:r>
      <w:r>
        <w:rPr>
          <w:rFonts w:eastAsia="Times New Roman"/>
          <w:sz w:val="24"/>
          <w:szCs w:val="24"/>
          <w:lang w:bidi="ar-SA"/>
        </w:rPr>
        <w:t xml:space="preserve">IS measure is 80%.  </w:t>
      </w:r>
      <w:r w:rsidRPr="00A857AD">
        <w:rPr>
          <w:rFonts w:eastAsia="Times New Roman"/>
          <w:sz w:val="24"/>
          <w:szCs w:val="24"/>
          <w:lang w:bidi="ar-SA"/>
        </w:rPr>
        <w:t>The</w:t>
      </w:r>
      <w:r>
        <w:rPr>
          <w:rFonts w:eastAsia="Times New Roman"/>
          <w:sz w:val="24"/>
          <w:szCs w:val="24"/>
          <w:lang w:bidi="ar-SA"/>
        </w:rPr>
        <w:t xml:space="preserve"> </w:t>
      </w:r>
      <w:r w:rsidRPr="00A857AD">
        <w:rPr>
          <w:rFonts w:eastAsia="Times New Roman"/>
          <w:sz w:val="24"/>
          <w:szCs w:val="24"/>
          <w:lang w:bidi="ar-SA"/>
        </w:rPr>
        <w:t>goal for the chart audit question is 95%.</w:t>
      </w:r>
    </w:p>
    <w:p w14:paraId="0128C334" w14:textId="6AE14EB9" w:rsidR="00CD1BAF" w:rsidRDefault="00CD1BAF" w:rsidP="00CD1BAF"/>
    <w:p w14:paraId="6096084A" w14:textId="76C8ED19" w:rsidR="00CD1BAF" w:rsidRDefault="00CD1BAF" w:rsidP="00CD1BAF"/>
    <w:p w14:paraId="153CDFB5" w14:textId="5B5ECD89" w:rsidR="00CD1BAF" w:rsidRDefault="00CD1BAF" w:rsidP="00CD1BAF"/>
    <w:p w14:paraId="5EFFF61B" w14:textId="1C9154E2" w:rsidR="00CD1BAF" w:rsidRDefault="00CD1BAF" w:rsidP="00CD1BAF"/>
    <w:p w14:paraId="0E722B3C" w14:textId="4CF15B10" w:rsidR="00CD1BAF" w:rsidRDefault="00CD1BAF" w:rsidP="00CD1BAF"/>
    <w:p w14:paraId="623F4C7A" w14:textId="693FD6B4" w:rsidR="00CD1BAF" w:rsidRDefault="00CD1BAF" w:rsidP="00CD1BAF"/>
    <w:p w14:paraId="511C9AAB" w14:textId="516685CF" w:rsidR="0053172A" w:rsidRDefault="0053172A" w:rsidP="00CD1BAF"/>
    <w:p w14:paraId="6528416B" w14:textId="5462A34D" w:rsidR="0053172A" w:rsidRDefault="0053172A" w:rsidP="00CD1BAF"/>
    <w:p w14:paraId="671F9D5B" w14:textId="42E4AAD6" w:rsidR="0053172A" w:rsidRDefault="0053172A" w:rsidP="00CD1BAF"/>
    <w:p w14:paraId="597ABA78" w14:textId="5450688E" w:rsidR="0053172A" w:rsidRDefault="0053172A" w:rsidP="00CD1BAF"/>
    <w:p w14:paraId="2BC7FD0F" w14:textId="3243EA63" w:rsidR="0053172A" w:rsidRDefault="0053172A" w:rsidP="00CD1BAF"/>
    <w:p w14:paraId="7283ABCF" w14:textId="406307DB" w:rsidR="0053172A" w:rsidRDefault="0053172A" w:rsidP="00CD1BAF"/>
    <w:p w14:paraId="32312684" w14:textId="229F5425" w:rsidR="0053172A" w:rsidRDefault="0053172A" w:rsidP="00CD1BAF"/>
    <w:p w14:paraId="556BE023" w14:textId="2682909C" w:rsidR="0053172A" w:rsidRDefault="0053172A" w:rsidP="00CD1BAF"/>
    <w:p w14:paraId="79F267BE" w14:textId="77777777" w:rsidR="0053172A" w:rsidRDefault="0053172A" w:rsidP="00CD1BAF"/>
    <w:p w14:paraId="2A399A2B" w14:textId="7EDC26FA" w:rsidR="00CD1BAF" w:rsidRDefault="00CD1BAF" w:rsidP="00CD1BAF"/>
    <w:p w14:paraId="5ED05056" w14:textId="78A6D578" w:rsidR="00CD1BAF" w:rsidRDefault="00CD1BAF" w:rsidP="00CD1BAF"/>
    <w:p w14:paraId="335861D1" w14:textId="60AD6744" w:rsidR="00CD1BAF" w:rsidRDefault="00CD1BAF" w:rsidP="00CD1BAF"/>
    <w:p w14:paraId="775F7B75" w14:textId="77777777" w:rsidR="00CD1BAF" w:rsidRDefault="00CD1BAF" w:rsidP="00CD1BAF"/>
    <w:p w14:paraId="683C524C" w14:textId="4EBC45C4" w:rsidR="00C354B9" w:rsidRPr="0005447B" w:rsidRDefault="00C354B9" w:rsidP="0005447B">
      <w:pPr>
        <w:pStyle w:val="ListParagraph"/>
        <w:numPr>
          <w:ilvl w:val="0"/>
          <w:numId w:val="13"/>
        </w:numPr>
        <w:rPr>
          <w:rFonts w:eastAsiaTheme="majorEastAsia"/>
          <w:b/>
          <w:bCs/>
          <w:color w:val="000000" w:themeColor="text1"/>
        </w:rPr>
      </w:pPr>
      <w:r w:rsidRPr="0005447B">
        <w:rPr>
          <w:rFonts w:eastAsiaTheme="majorEastAsia"/>
          <w:b/>
          <w:bCs/>
          <w:color w:val="000000" w:themeColor="text1"/>
        </w:rPr>
        <w:lastRenderedPageBreak/>
        <w:t xml:space="preserve">American Psychiatric Association </w:t>
      </w:r>
      <w:r w:rsidRPr="001D1E4B">
        <w:rPr>
          <w:rFonts w:eastAsiaTheme="majorEastAsia"/>
          <w:b/>
          <w:bCs/>
          <w:color w:val="2F5496" w:themeColor="accent1" w:themeShade="BF"/>
        </w:rPr>
        <w:t>Practice Guidelines for t</w:t>
      </w:r>
      <w:r w:rsidR="00BF3C12" w:rsidRPr="001D1E4B">
        <w:rPr>
          <w:rFonts w:eastAsiaTheme="majorEastAsia"/>
          <w:b/>
          <w:bCs/>
          <w:color w:val="2F5496" w:themeColor="accent1" w:themeShade="BF"/>
        </w:rPr>
        <w:t xml:space="preserve">he Treatment of Patients with Major Depressive Disorder, </w:t>
      </w:r>
      <w:r w:rsidRPr="001D1E4B">
        <w:rPr>
          <w:rFonts w:eastAsiaTheme="majorEastAsia"/>
          <w:b/>
          <w:bCs/>
          <w:color w:val="2F5496" w:themeColor="accent1" w:themeShade="BF"/>
        </w:rPr>
        <w:t>Adults, Third Edition</w:t>
      </w:r>
    </w:p>
    <w:p w14:paraId="785419B6" w14:textId="499968AC" w:rsidR="00064AFD" w:rsidRDefault="00064AFD" w:rsidP="00064AFD">
      <w:pPr>
        <w:pStyle w:val="BodyText"/>
        <w:spacing w:before="3"/>
        <w:ind w:left="1540"/>
        <w:rPr>
          <w:color w:val="000000" w:themeColor="text1"/>
        </w:rPr>
      </w:pPr>
      <w:bookmarkStart w:id="0" w:name="_Hlk121815735"/>
      <w:r w:rsidRPr="00064AFD">
        <w:rPr>
          <w:color w:val="000000" w:themeColor="text1"/>
        </w:rPr>
        <w:t>Scope: 18+ Years Old</w:t>
      </w:r>
    </w:p>
    <w:p w14:paraId="1D517DD5" w14:textId="0259B0F0" w:rsidR="00F160E7" w:rsidRPr="00064AFD" w:rsidRDefault="00F160E7" w:rsidP="00F160E7">
      <w:pPr>
        <w:pStyle w:val="BodyText"/>
        <w:numPr>
          <w:ilvl w:val="0"/>
          <w:numId w:val="12"/>
        </w:numPr>
        <w:spacing w:before="3"/>
        <w:rPr>
          <w:color w:val="000000" w:themeColor="text1"/>
        </w:rPr>
      </w:pPr>
      <w:r>
        <w:rPr>
          <w:color w:val="000000" w:themeColor="text1"/>
        </w:rPr>
        <w:t>Major Depressive Disorder (</w:t>
      </w:r>
      <w:r w:rsidRPr="00F160E7">
        <w:rPr>
          <w:color w:val="000000" w:themeColor="text1"/>
        </w:rPr>
        <w:t xml:space="preserve">DSM 5: </w:t>
      </w:r>
      <w:r w:rsidR="00720A27">
        <w:rPr>
          <w:color w:val="000000" w:themeColor="text1"/>
        </w:rPr>
        <w:t>296</w:t>
      </w:r>
      <w:r w:rsidR="00EF6250">
        <w:rPr>
          <w:color w:val="000000" w:themeColor="text1"/>
        </w:rPr>
        <w:t>.</w:t>
      </w:r>
      <w:r w:rsidR="009D0470">
        <w:rPr>
          <w:color w:val="000000" w:themeColor="text1"/>
        </w:rPr>
        <w:t>2</w:t>
      </w:r>
      <w:r w:rsidR="00EF6250">
        <w:rPr>
          <w:color w:val="000000" w:themeColor="text1"/>
        </w:rPr>
        <w:t>0-296.</w:t>
      </w:r>
      <w:r w:rsidR="009D0470">
        <w:rPr>
          <w:color w:val="000000" w:themeColor="text1"/>
        </w:rPr>
        <w:t>36</w:t>
      </w:r>
      <w:r w:rsidRPr="00F160E7">
        <w:rPr>
          <w:color w:val="000000" w:themeColor="text1"/>
        </w:rPr>
        <w:t xml:space="preserve"> and ICD 10 F</w:t>
      </w:r>
      <w:r w:rsidR="009E37A1">
        <w:rPr>
          <w:color w:val="000000" w:themeColor="text1"/>
        </w:rPr>
        <w:t>32</w:t>
      </w:r>
      <w:r w:rsidRPr="00F160E7">
        <w:rPr>
          <w:color w:val="000000" w:themeColor="text1"/>
        </w:rPr>
        <w:t>.</w:t>
      </w:r>
      <w:r w:rsidR="009E37A1">
        <w:rPr>
          <w:color w:val="000000" w:themeColor="text1"/>
        </w:rPr>
        <w:t>9</w:t>
      </w:r>
      <w:r w:rsidRPr="00F160E7">
        <w:rPr>
          <w:color w:val="000000" w:themeColor="text1"/>
        </w:rPr>
        <w:t>)</w:t>
      </w:r>
    </w:p>
    <w:p w14:paraId="4D6B600A" w14:textId="77777777" w:rsidR="00064AFD" w:rsidRPr="00064AFD" w:rsidRDefault="00064AFD" w:rsidP="00064AFD">
      <w:pPr>
        <w:pStyle w:val="BodyText"/>
        <w:spacing w:before="19"/>
        <w:ind w:left="1540"/>
        <w:rPr>
          <w:color w:val="000000" w:themeColor="text1"/>
        </w:rPr>
      </w:pPr>
      <w:r w:rsidRPr="00064AFD">
        <w:rPr>
          <w:color w:val="000000" w:themeColor="text1"/>
        </w:rPr>
        <w:t>Setting: Outpatient Level of Care</w:t>
      </w:r>
    </w:p>
    <w:p w14:paraId="2B504277" w14:textId="77777777" w:rsidR="00064AFD" w:rsidRPr="00064AFD" w:rsidRDefault="00064AFD" w:rsidP="00064AFD">
      <w:pPr>
        <w:pStyle w:val="BodyText"/>
        <w:spacing w:before="18"/>
        <w:ind w:left="1540"/>
        <w:rPr>
          <w:color w:val="000000" w:themeColor="text1"/>
        </w:rPr>
      </w:pPr>
      <w:r w:rsidRPr="00064AFD">
        <w:rPr>
          <w:color w:val="000000" w:themeColor="text1"/>
        </w:rPr>
        <w:t>Evidence Found: Intake Assessments including Screening Tools and Ongoing Assessments, if applicable</w:t>
      </w:r>
    </w:p>
    <w:bookmarkEnd w:id="0"/>
    <w:p w14:paraId="1B0DEEF1" w14:textId="00945F15" w:rsidR="00B13F49" w:rsidRDefault="00B13F49" w:rsidP="00B13F49"/>
    <w:tbl>
      <w:tblPr>
        <w:tblW w:w="1431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990"/>
        <w:gridCol w:w="3960"/>
        <w:gridCol w:w="6210"/>
      </w:tblGrid>
      <w:tr w:rsidR="00B13F49" w14:paraId="455D2BFC" w14:textId="77777777" w:rsidTr="00C30BFE">
        <w:trPr>
          <w:trHeight w:val="484"/>
        </w:trPr>
        <w:tc>
          <w:tcPr>
            <w:tcW w:w="3150" w:type="dxa"/>
            <w:shd w:val="clear" w:color="auto" w:fill="44546A" w:themeFill="text2"/>
          </w:tcPr>
          <w:p w14:paraId="48662C93" w14:textId="77777777" w:rsidR="00B13F49" w:rsidRDefault="00B13F49" w:rsidP="004A30CB">
            <w:pPr>
              <w:pStyle w:val="TableParagraph"/>
              <w:spacing w:line="239" w:lineRule="exact"/>
              <w:ind w:left="878"/>
              <w:rPr>
                <w:b/>
                <w:sz w:val="21"/>
              </w:rPr>
            </w:pPr>
            <w:bookmarkStart w:id="1" w:name="_Hlk121814064"/>
            <w:r>
              <w:rPr>
                <w:b/>
                <w:color w:val="FFFFFF"/>
                <w:sz w:val="21"/>
              </w:rPr>
              <w:t>Questions</w:t>
            </w:r>
          </w:p>
        </w:tc>
        <w:tc>
          <w:tcPr>
            <w:tcW w:w="990" w:type="dxa"/>
            <w:shd w:val="clear" w:color="auto" w:fill="44546A" w:themeFill="text2"/>
          </w:tcPr>
          <w:p w14:paraId="12C8DC92" w14:textId="77777777" w:rsidR="00B13F49" w:rsidRDefault="00B13F49" w:rsidP="00345827">
            <w:pPr>
              <w:pStyle w:val="TableParagraph"/>
              <w:spacing w:line="242" w:lineRule="exact"/>
              <w:ind w:left="62" w:right="84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Answer Options</w:t>
            </w:r>
          </w:p>
        </w:tc>
        <w:tc>
          <w:tcPr>
            <w:tcW w:w="3960" w:type="dxa"/>
            <w:shd w:val="clear" w:color="auto" w:fill="44546A" w:themeFill="text2"/>
          </w:tcPr>
          <w:p w14:paraId="3EC2865C" w14:textId="77777777" w:rsidR="00B13F49" w:rsidRDefault="00B13F49" w:rsidP="00C30BFE">
            <w:pPr>
              <w:pStyle w:val="TableParagraph"/>
              <w:spacing w:line="239" w:lineRule="exact"/>
              <w:ind w:left="1794" w:right="1797" w:hanging="360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Notes</w:t>
            </w:r>
          </w:p>
        </w:tc>
        <w:tc>
          <w:tcPr>
            <w:tcW w:w="6210" w:type="dxa"/>
            <w:shd w:val="clear" w:color="auto" w:fill="44546A" w:themeFill="text2"/>
          </w:tcPr>
          <w:p w14:paraId="47A94F8A" w14:textId="77777777" w:rsidR="00B13F49" w:rsidRDefault="00B13F49" w:rsidP="004A30CB">
            <w:pPr>
              <w:pStyle w:val="TableParagraph"/>
              <w:spacing w:line="239" w:lineRule="exact"/>
              <w:ind w:left="1759" w:right="1759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Reference</w:t>
            </w:r>
          </w:p>
        </w:tc>
      </w:tr>
      <w:tr w:rsidR="00B13F49" w14:paraId="566C6B75" w14:textId="77777777" w:rsidTr="00C30BFE">
        <w:trPr>
          <w:trHeight w:val="1207"/>
        </w:trPr>
        <w:tc>
          <w:tcPr>
            <w:tcW w:w="3150" w:type="dxa"/>
          </w:tcPr>
          <w:p w14:paraId="226D4DFF" w14:textId="491850E4" w:rsidR="00B13F49" w:rsidRPr="00206CF7" w:rsidRDefault="00B13F49" w:rsidP="004A30CB">
            <w:pPr>
              <w:pStyle w:val="TableParagraph"/>
              <w:ind w:right="199"/>
            </w:pPr>
            <w:r w:rsidRPr="00206CF7">
              <w:t xml:space="preserve">1. </w:t>
            </w:r>
            <w:r w:rsidR="000A519B" w:rsidRPr="00206CF7">
              <w:t>Is there documentation</w:t>
            </w:r>
            <w:r w:rsidR="00880583" w:rsidRPr="00206CF7">
              <w:t xml:space="preserve"> that CBT is being used or rationale for why it is not being offered.</w:t>
            </w:r>
          </w:p>
        </w:tc>
        <w:tc>
          <w:tcPr>
            <w:tcW w:w="990" w:type="dxa"/>
          </w:tcPr>
          <w:p w14:paraId="5655F53E" w14:textId="77777777" w:rsidR="00B13F49" w:rsidRPr="00206CF7" w:rsidRDefault="00B13F49" w:rsidP="00345827">
            <w:pPr>
              <w:pStyle w:val="TableParagraph"/>
              <w:spacing w:line="237" w:lineRule="auto"/>
              <w:ind w:left="95" w:right="486"/>
              <w:jc w:val="center"/>
            </w:pPr>
            <w:r w:rsidRPr="00206CF7">
              <w:t>Yes No</w:t>
            </w:r>
          </w:p>
        </w:tc>
        <w:tc>
          <w:tcPr>
            <w:tcW w:w="3960" w:type="dxa"/>
          </w:tcPr>
          <w:p w14:paraId="4A23612F" w14:textId="1233265A" w:rsidR="00B13F49" w:rsidRPr="00206CF7" w:rsidRDefault="002065C9" w:rsidP="00AB2B75">
            <w:pPr>
              <w:pStyle w:val="qowt-li-80"/>
              <w:rPr>
                <w:rFonts w:ascii="Arial" w:hAnsi="Arial" w:cs="Arial"/>
                <w:sz w:val="22"/>
                <w:szCs w:val="22"/>
              </w:rPr>
            </w:pPr>
            <w:r w:rsidRPr="00206C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</w:tcPr>
          <w:p w14:paraId="0909C237" w14:textId="4D73F0FF" w:rsidR="00B13F49" w:rsidRPr="00206CF7" w:rsidRDefault="00B12258" w:rsidP="005E2679">
            <w:pPr>
              <w:pStyle w:val="qowt-li-80"/>
              <w:ind w:left="151"/>
              <w:rPr>
                <w:rFonts w:ascii="Arial" w:eastAsiaTheme="majorEastAsia" w:hAnsi="Arial" w:cs="Arial"/>
                <w:sz w:val="22"/>
                <w:szCs w:val="22"/>
              </w:rPr>
            </w:pPr>
            <w:r w:rsidRPr="00206CF7">
              <w:rPr>
                <w:rStyle w:val="qowt-font2-centurygothic"/>
                <w:rFonts w:ascii="Arial" w:eastAsiaTheme="majorEastAsia" w:hAnsi="Arial" w:cs="Arial"/>
                <w:sz w:val="22"/>
                <w:szCs w:val="22"/>
              </w:rPr>
              <w:t>P17</w:t>
            </w:r>
            <w:r w:rsidR="0015221E" w:rsidRPr="00206CF7">
              <w:rPr>
                <w:rStyle w:val="qowt-font2-centurygothic"/>
                <w:rFonts w:ascii="Arial" w:eastAsiaTheme="majorEastAsia" w:hAnsi="Arial" w:cs="Arial"/>
                <w:sz w:val="22"/>
                <w:szCs w:val="22"/>
              </w:rPr>
              <w:t xml:space="preserve">, </w:t>
            </w:r>
            <w:r w:rsidR="005E2679" w:rsidRPr="00206CF7">
              <w:rPr>
                <w:rStyle w:val="qowt-font2-centurygothic"/>
                <w:rFonts w:ascii="Arial" w:eastAsiaTheme="majorEastAsia" w:hAnsi="Arial" w:cs="Arial"/>
                <w:sz w:val="22"/>
                <w:szCs w:val="22"/>
              </w:rPr>
              <w:t>P</w:t>
            </w:r>
            <w:r w:rsidRPr="00206CF7">
              <w:rPr>
                <w:rStyle w:val="qowt-font2-centurygothic"/>
                <w:rFonts w:ascii="Arial" w:eastAsiaTheme="majorEastAsia" w:hAnsi="Arial" w:cs="Arial"/>
                <w:sz w:val="22"/>
                <w:szCs w:val="22"/>
              </w:rPr>
              <w:t>18 Use of a depression-focused psychotherapy alone is recommended as an initial treatment choice for patients with mild to moderate major depressive disorder, with clinical evidence supporting the use of cognitive-behavioral therapy (CBT), interpersonal psychotherapy, psy</w:t>
            </w:r>
            <w:r w:rsidR="0039719F" w:rsidRPr="00206CF7">
              <w:rPr>
                <w:rStyle w:val="qowt-font2-centurygothic"/>
                <w:rFonts w:ascii="Arial" w:eastAsiaTheme="majorEastAsia" w:hAnsi="Arial" w:cs="Arial"/>
                <w:sz w:val="22"/>
                <w:szCs w:val="22"/>
              </w:rPr>
              <w:t xml:space="preserve">chodynamic therapy, and problem-solving therapy. </w:t>
            </w:r>
          </w:p>
        </w:tc>
      </w:tr>
      <w:tr w:rsidR="00B13F49" w14:paraId="5D83D8BE" w14:textId="77777777" w:rsidTr="00C30BFE">
        <w:trPr>
          <w:trHeight w:val="620"/>
        </w:trPr>
        <w:tc>
          <w:tcPr>
            <w:tcW w:w="3150" w:type="dxa"/>
          </w:tcPr>
          <w:p w14:paraId="1863392E" w14:textId="0158FAB9" w:rsidR="00B13F49" w:rsidRPr="00206CF7" w:rsidRDefault="00B13F49" w:rsidP="006E4C93">
            <w:pPr>
              <w:ind w:left="157"/>
            </w:pPr>
            <w:r w:rsidRPr="00206CF7">
              <w:t>2.</w:t>
            </w:r>
            <w:r w:rsidR="00250377" w:rsidRPr="00206CF7">
              <w:t xml:space="preserve"> Is there documentation </w:t>
            </w:r>
            <w:r w:rsidR="009A4B6E" w:rsidRPr="00206CF7">
              <w:t xml:space="preserve">that an antidepressant medication is being use or it was considered </w:t>
            </w:r>
            <w:r w:rsidR="00206CF7" w:rsidRPr="00206CF7">
              <w:t>and rationale for not</w:t>
            </w:r>
            <w:r w:rsidR="006E4C93">
              <w:t xml:space="preserve"> </w:t>
            </w:r>
            <w:r w:rsidR="00206CF7" w:rsidRPr="00206CF7">
              <w:t>prescribing is</w:t>
            </w:r>
            <w:r w:rsidR="006E4C93">
              <w:t xml:space="preserve"> </w:t>
            </w:r>
            <w:r w:rsidR="00206CF7" w:rsidRPr="00206CF7">
              <w:t>documented.</w:t>
            </w:r>
          </w:p>
        </w:tc>
        <w:tc>
          <w:tcPr>
            <w:tcW w:w="990" w:type="dxa"/>
          </w:tcPr>
          <w:p w14:paraId="31954CBD" w14:textId="7D8A4BCE" w:rsidR="00B13F49" w:rsidRPr="00206CF7" w:rsidRDefault="00345827" w:rsidP="00345827">
            <w:pPr>
              <w:pStyle w:val="TableParagraph"/>
              <w:tabs>
                <w:tab w:val="left" w:pos="503"/>
              </w:tabs>
              <w:spacing w:line="237" w:lineRule="auto"/>
              <w:ind w:left="95" w:right="486" w:hanging="180"/>
              <w:jc w:val="center"/>
            </w:pPr>
            <w:r>
              <w:t xml:space="preserve">  </w:t>
            </w:r>
            <w:r w:rsidR="00B13F49" w:rsidRPr="00206CF7">
              <w:t>Yes No</w:t>
            </w:r>
          </w:p>
        </w:tc>
        <w:tc>
          <w:tcPr>
            <w:tcW w:w="3960" w:type="dxa"/>
          </w:tcPr>
          <w:p w14:paraId="6F341C37" w14:textId="18D2D87A" w:rsidR="00B13F49" w:rsidRPr="00206CF7" w:rsidRDefault="00B13F49" w:rsidP="00C76D52">
            <w:pPr>
              <w:pStyle w:val="qowt-li-8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210" w:type="dxa"/>
          </w:tcPr>
          <w:p w14:paraId="438196D2" w14:textId="6CB0D10C" w:rsidR="00B13F49" w:rsidRPr="00206CF7" w:rsidRDefault="001D61CE" w:rsidP="00C8497E">
            <w:pPr>
              <w:pStyle w:val="TableParagraph"/>
              <w:spacing w:before="2" w:line="242" w:lineRule="exact"/>
              <w:ind w:left="104" w:right="318"/>
            </w:pPr>
            <w:r w:rsidRPr="00206CF7">
              <w:t>P</w:t>
            </w:r>
            <w:r w:rsidR="00045198" w:rsidRPr="00206CF7">
              <w:t>17 An antidepressant medication is recommended as an initial</w:t>
            </w:r>
            <w:r w:rsidR="00C8497E">
              <w:t xml:space="preserve"> </w:t>
            </w:r>
            <w:r w:rsidR="00045198" w:rsidRPr="00206CF7">
              <w:t>treatment choice for patients with mild to moderate major depressive disorder and definitely should be provided for those with severe major depressive disorder unless ECT is planned</w:t>
            </w:r>
            <w:r w:rsidR="00C05EED">
              <w:t>.</w:t>
            </w:r>
            <w:r w:rsidR="00045198" w:rsidRPr="00206CF7">
              <w:t xml:space="preserve"> </w:t>
            </w:r>
          </w:p>
        </w:tc>
      </w:tr>
      <w:tr w:rsidR="00B13F49" w14:paraId="244E9725" w14:textId="77777777" w:rsidTr="00C30BFE">
        <w:trPr>
          <w:trHeight w:val="1449"/>
        </w:trPr>
        <w:tc>
          <w:tcPr>
            <w:tcW w:w="3150" w:type="dxa"/>
          </w:tcPr>
          <w:p w14:paraId="27F1FD88" w14:textId="1EFEAB3B" w:rsidR="00B13F49" w:rsidRDefault="00B13F49" w:rsidP="00206CF7">
            <w:pPr>
              <w:pStyle w:val="TableParagraph"/>
              <w:ind w:right="102"/>
              <w:rPr>
                <w:sz w:val="21"/>
              </w:rPr>
            </w:pPr>
            <w:r w:rsidRPr="004B7AF6">
              <w:rPr>
                <w:szCs w:val="24"/>
              </w:rPr>
              <w:t xml:space="preserve">3. </w:t>
            </w:r>
            <w:r w:rsidR="00206CF7" w:rsidRPr="004B7AF6">
              <w:rPr>
                <w:szCs w:val="24"/>
              </w:rPr>
              <w:t xml:space="preserve"> </w:t>
            </w:r>
            <w:r w:rsidR="00D01171" w:rsidRPr="004B7AF6">
              <w:rPr>
                <w:szCs w:val="24"/>
              </w:rPr>
              <w:t>Is there documentation that assessment complete to establish diagnosis, identify other psychiatric condi</w:t>
            </w:r>
            <w:r w:rsidR="005E5EB8" w:rsidRPr="004B7AF6">
              <w:rPr>
                <w:szCs w:val="24"/>
              </w:rPr>
              <w:t>tion or general medical conditions.</w:t>
            </w:r>
          </w:p>
        </w:tc>
        <w:tc>
          <w:tcPr>
            <w:tcW w:w="990" w:type="dxa"/>
          </w:tcPr>
          <w:p w14:paraId="0998005C" w14:textId="1C4CE8B7" w:rsidR="00B13F49" w:rsidRDefault="00345827" w:rsidP="00345827">
            <w:pPr>
              <w:pStyle w:val="TableParagraph"/>
              <w:ind w:left="62" w:right="486" w:hanging="62"/>
              <w:jc w:val="bot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B13F49" w:rsidRPr="00345827">
              <w:rPr>
                <w:szCs w:val="24"/>
              </w:rPr>
              <w:t xml:space="preserve">Yes No </w:t>
            </w:r>
          </w:p>
        </w:tc>
        <w:tc>
          <w:tcPr>
            <w:tcW w:w="3960" w:type="dxa"/>
          </w:tcPr>
          <w:p w14:paraId="214C63B7" w14:textId="1CAC7D17" w:rsidR="00B13F49" w:rsidRDefault="00B13F49" w:rsidP="004B7AF6">
            <w:pPr>
              <w:pStyle w:val="TableParagraph"/>
              <w:tabs>
                <w:tab w:val="left" w:pos="247"/>
              </w:tabs>
              <w:spacing w:before="4" w:line="240" w:lineRule="exact"/>
              <w:ind w:left="106" w:right="259"/>
              <w:rPr>
                <w:i/>
                <w:sz w:val="21"/>
              </w:rPr>
            </w:pPr>
          </w:p>
        </w:tc>
        <w:tc>
          <w:tcPr>
            <w:tcW w:w="6210" w:type="dxa"/>
          </w:tcPr>
          <w:p w14:paraId="548C4562" w14:textId="2A3D3A61" w:rsidR="00B13F49" w:rsidRPr="00E558B0" w:rsidRDefault="00E558B0" w:rsidP="00527022">
            <w:pPr>
              <w:pStyle w:val="TableParagraph"/>
              <w:spacing w:before="1"/>
              <w:ind w:left="104" w:right="191"/>
              <w:rPr>
                <w:szCs w:val="24"/>
              </w:rPr>
            </w:pPr>
            <w:r w:rsidRPr="00E558B0">
              <w:rPr>
                <w:szCs w:val="24"/>
              </w:rPr>
              <w:t xml:space="preserve">P15 </w:t>
            </w:r>
            <w:r w:rsidR="00EE16E9" w:rsidRPr="00E558B0">
              <w:rPr>
                <w:szCs w:val="24"/>
              </w:rPr>
              <w:t>Patients should receive a</w:t>
            </w:r>
            <w:r w:rsidRPr="00E558B0">
              <w:rPr>
                <w:szCs w:val="24"/>
              </w:rPr>
              <w:t xml:space="preserve"> </w:t>
            </w:r>
            <w:r w:rsidR="00EE16E9" w:rsidRPr="00E558B0">
              <w:rPr>
                <w:szCs w:val="24"/>
              </w:rPr>
              <w:t>thorough</w:t>
            </w:r>
            <w:r w:rsidRPr="00E558B0">
              <w:rPr>
                <w:szCs w:val="24"/>
              </w:rPr>
              <w:t xml:space="preserve"> </w:t>
            </w:r>
            <w:r w:rsidR="00EE16E9" w:rsidRPr="00E558B0">
              <w:rPr>
                <w:szCs w:val="24"/>
              </w:rPr>
              <w:t>diagnostic assessment in</w:t>
            </w:r>
            <w:r>
              <w:rPr>
                <w:szCs w:val="24"/>
              </w:rPr>
              <w:t xml:space="preserve"> </w:t>
            </w:r>
            <w:r w:rsidR="00EE16E9" w:rsidRPr="00E558B0">
              <w:rPr>
                <w:szCs w:val="24"/>
              </w:rPr>
              <w:t>order to establish the diagnosis of major depressive disorder,</w:t>
            </w:r>
            <w:r w:rsidR="00527022">
              <w:rPr>
                <w:szCs w:val="24"/>
              </w:rPr>
              <w:t xml:space="preserve"> </w:t>
            </w:r>
            <w:r w:rsidR="00EE16E9" w:rsidRPr="00E558B0">
              <w:rPr>
                <w:szCs w:val="24"/>
              </w:rPr>
              <w:t>identify other psychiatric or general medical conditions</w:t>
            </w:r>
            <w:r>
              <w:rPr>
                <w:szCs w:val="24"/>
              </w:rPr>
              <w:t xml:space="preserve"> </w:t>
            </w:r>
            <w:r w:rsidR="00EE16E9" w:rsidRPr="00E558B0">
              <w:rPr>
                <w:szCs w:val="24"/>
              </w:rPr>
              <w:t xml:space="preserve">that may require </w:t>
            </w:r>
            <w:r w:rsidR="004B7AF6" w:rsidRPr="00E558B0">
              <w:rPr>
                <w:szCs w:val="24"/>
              </w:rPr>
              <w:t>attention and</w:t>
            </w:r>
            <w:r w:rsidR="00EE16E9" w:rsidRPr="00E558B0">
              <w:rPr>
                <w:szCs w:val="24"/>
              </w:rPr>
              <w:t xml:space="preserve"> develop a comprehensive</w:t>
            </w:r>
            <w:r>
              <w:rPr>
                <w:szCs w:val="24"/>
              </w:rPr>
              <w:t xml:space="preserve"> </w:t>
            </w:r>
            <w:r w:rsidR="00EE16E9" w:rsidRPr="00E558B0">
              <w:rPr>
                <w:szCs w:val="24"/>
              </w:rPr>
              <w:t>plan for treatment</w:t>
            </w:r>
            <w:r>
              <w:rPr>
                <w:szCs w:val="24"/>
              </w:rPr>
              <w:t>.</w:t>
            </w:r>
          </w:p>
        </w:tc>
      </w:tr>
      <w:bookmarkEnd w:id="1"/>
    </w:tbl>
    <w:p w14:paraId="57105FB3" w14:textId="5BB7AD81" w:rsidR="00B13F49" w:rsidRDefault="00B13F49" w:rsidP="00B13F49"/>
    <w:p w14:paraId="30880C80" w14:textId="6E544DC8" w:rsidR="002E0E8B" w:rsidRDefault="002E0E8B" w:rsidP="00B13F49"/>
    <w:p w14:paraId="285E62EA" w14:textId="3B0CB7B9" w:rsidR="002E0E8B" w:rsidRDefault="002E0E8B" w:rsidP="00B13F49"/>
    <w:p w14:paraId="71F10281" w14:textId="30897FC4" w:rsidR="0005447B" w:rsidRDefault="0005447B" w:rsidP="00B13F49"/>
    <w:p w14:paraId="25F74B43" w14:textId="1CD34224" w:rsidR="00C30BFE" w:rsidRDefault="00C30BFE" w:rsidP="00B13F49"/>
    <w:p w14:paraId="6F9D27D5" w14:textId="7B0DFE87" w:rsidR="00C30BFE" w:rsidRDefault="00C30BFE" w:rsidP="00B13F49"/>
    <w:p w14:paraId="62EA6D76" w14:textId="77777777" w:rsidR="00C30BFE" w:rsidRDefault="00C30BFE" w:rsidP="00B13F49"/>
    <w:p w14:paraId="67726E05" w14:textId="77777777" w:rsidR="00C30BFE" w:rsidRDefault="00C30BFE" w:rsidP="00B13F49"/>
    <w:p w14:paraId="240FBD23" w14:textId="77777777" w:rsidR="0005447B" w:rsidRDefault="0005447B" w:rsidP="00B13F49"/>
    <w:p w14:paraId="48194907" w14:textId="4F8C32FB" w:rsidR="004E741C" w:rsidRPr="004E741C" w:rsidRDefault="00705F4D" w:rsidP="0005447B">
      <w:pPr>
        <w:pStyle w:val="ListParagraph"/>
        <w:numPr>
          <w:ilvl w:val="0"/>
          <w:numId w:val="13"/>
        </w:numPr>
      </w:pPr>
      <w:r w:rsidRPr="0005447B">
        <w:rPr>
          <w:b/>
          <w:bCs/>
        </w:rPr>
        <w:lastRenderedPageBreak/>
        <w:t xml:space="preserve">American Society of Addiction Medicine </w:t>
      </w:r>
      <w:r w:rsidR="004E741C" w:rsidRPr="0005447B">
        <w:rPr>
          <w:b/>
          <w:bCs/>
          <w:color w:val="2F5496" w:themeColor="accent1" w:themeShade="BF"/>
        </w:rPr>
        <w:t xml:space="preserve">National Practice Guideline for the Treatment of </w:t>
      </w:r>
      <w:r w:rsidR="00524BD5" w:rsidRPr="0005447B">
        <w:rPr>
          <w:b/>
          <w:bCs/>
          <w:color w:val="2F5496" w:themeColor="accent1" w:themeShade="BF"/>
        </w:rPr>
        <w:t>Opioid Use Disorder</w:t>
      </w:r>
      <w:r w:rsidR="004E741C" w:rsidRPr="0005447B">
        <w:rPr>
          <w:color w:val="2F5496" w:themeColor="accent1" w:themeShade="BF"/>
        </w:rPr>
        <w:t xml:space="preserve"> </w:t>
      </w:r>
    </w:p>
    <w:p w14:paraId="25A59787" w14:textId="1B7F13F3" w:rsidR="00F06355" w:rsidRPr="004E741C" w:rsidRDefault="00FC01BC" w:rsidP="00FC01BC">
      <w:pPr>
        <w:tabs>
          <w:tab w:val="left" w:pos="821"/>
        </w:tabs>
        <w:spacing w:before="13" w:line="259" w:lineRule="auto"/>
        <w:ind w:left="1180" w:right="559"/>
        <w:outlineLvl w:val="0"/>
        <w:rPr>
          <w:i/>
        </w:rPr>
      </w:pPr>
      <w:r>
        <w:rPr>
          <w:i/>
        </w:rPr>
        <w:tab/>
        <w:t xml:space="preserve">  </w:t>
      </w:r>
      <w:r w:rsidR="00F06355" w:rsidRPr="004E741C">
        <w:rPr>
          <w:i/>
        </w:rPr>
        <w:t>Scope: 18+ Years Old</w:t>
      </w:r>
    </w:p>
    <w:p w14:paraId="5CB2D9DA" w14:textId="7A0041F4" w:rsidR="00F06355" w:rsidRPr="00F06355" w:rsidRDefault="00F06355" w:rsidP="00F06355">
      <w:pPr>
        <w:pStyle w:val="ListParagraph"/>
        <w:numPr>
          <w:ilvl w:val="0"/>
          <w:numId w:val="12"/>
        </w:numPr>
        <w:spacing w:before="13"/>
        <w:rPr>
          <w:i/>
        </w:rPr>
      </w:pPr>
      <w:r>
        <w:rPr>
          <w:i/>
        </w:rPr>
        <w:t>Opiate Use Disorder</w:t>
      </w:r>
      <w:r w:rsidRPr="00F06355">
        <w:rPr>
          <w:i/>
        </w:rPr>
        <w:t xml:space="preserve"> (DSM 5: </w:t>
      </w:r>
      <w:r w:rsidR="001008CF">
        <w:rPr>
          <w:i/>
        </w:rPr>
        <w:t xml:space="preserve">304.00 &amp; </w:t>
      </w:r>
      <w:r w:rsidR="00DD475B">
        <w:rPr>
          <w:i/>
        </w:rPr>
        <w:t>305.50</w:t>
      </w:r>
      <w:r w:rsidRPr="00F06355">
        <w:rPr>
          <w:i/>
        </w:rPr>
        <w:t xml:space="preserve"> and ICD 10 F</w:t>
      </w:r>
      <w:r w:rsidR="00AD3ED6">
        <w:rPr>
          <w:i/>
        </w:rPr>
        <w:t>11.10</w:t>
      </w:r>
      <w:r w:rsidR="001008CF">
        <w:rPr>
          <w:i/>
        </w:rPr>
        <w:t xml:space="preserve"> &amp; </w:t>
      </w:r>
      <w:r w:rsidR="00FB7D1D">
        <w:rPr>
          <w:i/>
        </w:rPr>
        <w:t>F</w:t>
      </w:r>
      <w:r w:rsidR="00AD3ED6">
        <w:rPr>
          <w:i/>
        </w:rPr>
        <w:t>11.20</w:t>
      </w:r>
      <w:r w:rsidRPr="00F06355">
        <w:rPr>
          <w:i/>
        </w:rPr>
        <w:t>)</w:t>
      </w:r>
    </w:p>
    <w:p w14:paraId="6BD3C38E" w14:textId="77777777" w:rsidR="00EA390F" w:rsidRPr="00085FA9" w:rsidRDefault="00EA390F" w:rsidP="00EA390F">
      <w:pPr>
        <w:spacing w:before="13"/>
        <w:ind w:left="1540"/>
        <w:rPr>
          <w:i/>
        </w:rPr>
      </w:pPr>
      <w:r w:rsidRPr="00085FA9">
        <w:rPr>
          <w:i/>
        </w:rPr>
        <w:t>Setting: Outpatient</w:t>
      </w:r>
    </w:p>
    <w:p w14:paraId="36021BCB" w14:textId="6AE34F78" w:rsidR="00EA390F" w:rsidRPr="00085FA9" w:rsidRDefault="00EA390F" w:rsidP="00EA390F">
      <w:pPr>
        <w:spacing w:before="18"/>
        <w:ind w:left="1540"/>
        <w:rPr>
          <w:i/>
        </w:rPr>
      </w:pPr>
      <w:r w:rsidRPr="00085FA9">
        <w:rPr>
          <w:i/>
        </w:rPr>
        <w:t>Evidence Found: Intake Assessment</w:t>
      </w:r>
      <w:r w:rsidR="00CF6C89">
        <w:rPr>
          <w:i/>
        </w:rPr>
        <w:t>, treatment plan</w:t>
      </w:r>
    </w:p>
    <w:p w14:paraId="50B048E7" w14:textId="15E9A18F" w:rsidR="002E0E8B" w:rsidRDefault="002E0E8B" w:rsidP="00B13F49"/>
    <w:tbl>
      <w:tblPr>
        <w:tblW w:w="1431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990"/>
        <w:gridCol w:w="3960"/>
        <w:gridCol w:w="6210"/>
      </w:tblGrid>
      <w:tr w:rsidR="009D0470" w14:paraId="16E5B1AB" w14:textId="77777777" w:rsidTr="00C30BFE">
        <w:trPr>
          <w:trHeight w:val="484"/>
        </w:trPr>
        <w:tc>
          <w:tcPr>
            <w:tcW w:w="3150" w:type="dxa"/>
            <w:shd w:val="clear" w:color="auto" w:fill="44546A" w:themeFill="text2"/>
          </w:tcPr>
          <w:p w14:paraId="2C7477E5" w14:textId="77777777" w:rsidR="009D0470" w:rsidRDefault="009D0470" w:rsidP="00831174">
            <w:pPr>
              <w:pStyle w:val="TableParagraph"/>
              <w:spacing w:line="239" w:lineRule="exact"/>
              <w:ind w:left="878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Questions</w:t>
            </w:r>
          </w:p>
        </w:tc>
        <w:tc>
          <w:tcPr>
            <w:tcW w:w="990" w:type="dxa"/>
            <w:shd w:val="clear" w:color="auto" w:fill="44546A" w:themeFill="text2"/>
          </w:tcPr>
          <w:p w14:paraId="0B2868F5" w14:textId="77777777" w:rsidR="009D0470" w:rsidRDefault="009D0470" w:rsidP="00345827">
            <w:pPr>
              <w:pStyle w:val="TableParagraph"/>
              <w:spacing w:line="242" w:lineRule="exact"/>
              <w:ind w:left="95" w:right="84" w:firstLine="1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Answer Options</w:t>
            </w:r>
          </w:p>
        </w:tc>
        <w:tc>
          <w:tcPr>
            <w:tcW w:w="3960" w:type="dxa"/>
            <w:shd w:val="clear" w:color="auto" w:fill="44546A" w:themeFill="text2"/>
          </w:tcPr>
          <w:p w14:paraId="284F2D89" w14:textId="77777777" w:rsidR="009D0470" w:rsidRDefault="009D0470" w:rsidP="00C30BFE">
            <w:pPr>
              <w:pStyle w:val="TableParagraph"/>
              <w:spacing w:line="239" w:lineRule="exact"/>
              <w:ind w:left="1794" w:right="1797" w:hanging="360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Notes</w:t>
            </w:r>
          </w:p>
        </w:tc>
        <w:tc>
          <w:tcPr>
            <w:tcW w:w="6210" w:type="dxa"/>
            <w:shd w:val="clear" w:color="auto" w:fill="44546A" w:themeFill="text2"/>
          </w:tcPr>
          <w:p w14:paraId="0092B2E5" w14:textId="77777777" w:rsidR="009D0470" w:rsidRDefault="009D0470" w:rsidP="00831174">
            <w:pPr>
              <w:pStyle w:val="TableParagraph"/>
              <w:spacing w:line="239" w:lineRule="exact"/>
              <w:ind w:left="1759" w:right="1759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Reference</w:t>
            </w:r>
          </w:p>
        </w:tc>
      </w:tr>
      <w:tr w:rsidR="00792BC1" w14:paraId="6CB94686" w14:textId="77777777" w:rsidTr="00C30BFE">
        <w:trPr>
          <w:trHeight w:val="1207"/>
        </w:trPr>
        <w:tc>
          <w:tcPr>
            <w:tcW w:w="3150" w:type="dxa"/>
          </w:tcPr>
          <w:p w14:paraId="778BE369" w14:textId="7EA4B426" w:rsidR="00792BC1" w:rsidRPr="00206CF7" w:rsidRDefault="00792BC1" w:rsidP="00831174">
            <w:pPr>
              <w:pStyle w:val="TableParagraph"/>
              <w:ind w:right="199"/>
            </w:pPr>
            <w:r w:rsidRPr="000953A9">
              <w:t xml:space="preserve">2. Is there documentation that </w:t>
            </w:r>
            <w:r>
              <w:t>the comprehensive assessment was completed at treatment engagement of soon after initiating treatment?</w:t>
            </w:r>
          </w:p>
        </w:tc>
        <w:tc>
          <w:tcPr>
            <w:tcW w:w="990" w:type="dxa"/>
          </w:tcPr>
          <w:p w14:paraId="4CA03080" w14:textId="380C2CA8" w:rsidR="00792BC1" w:rsidRPr="00206CF7" w:rsidRDefault="00792BC1" w:rsidP="00345827">
            <w:pPr>
              <w:pStyle w:val="TableParagraph"/>
              <w:spacing w:line="237" w:lineRule="auto"/>
              <w:ind w:left="95" w:right="486"/>
              <w:jc w:val="center"/>
            </w:pPr>
            <w:r w:rsidRPr="00206CF7">
              <w:t>Yes No</w:t>
            </w:r>
          </w:p>
        </w:tc>
        <w:tc>
          <w:tcPr>
            <w:tcW w:w="3960" w:type="dxa"/>
          </w:tcPr>
          <w:p w14:paraId="387173FE" w14:textId="77777777" w:rsidR="00792BC1" w:rsidRPr="00192E2C" w:rsidRDefault="00792BC1" w:rsidP="00192E2C">
            <w:pPr>
              <w:pStyle w:val="qowt-li-8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210" w:type="dxa"/>
          </w:tcPr>
          <w:p w14:paraId="737BBAC7" w14:textId="5A248FC5" w:rsidR="00792BC1" w:rsidRDefault="004E72C5" w:rsidP="00831174">
            <w:pPr>
              <w:pStyle w:val="qowt-li-80"/>
              <w:ind w:left="151"/>
              <w:rPr>
                <w:rStyle w:val="qowt-font2-centurygothic"/>
                <w:rFonts w:ascii="Arial" w:eastAsiaTheme="majorEastAsia" w:hAnsi="Arial" w:cs="Arial"/>
                <w:sz w:val="22"/>
                <w:szCs w:val="22"/>
              </w:rPr>
            </w:pPr>
            <w:r w:rsidRPr="004E72C5">
              <w:rPr>
                <w:rStyle w:val="qowt-font2-centurygothic"/>
                <w:rFonts w:ascii="Arial" w:eastAsiaTheme="majorEastAsia" w:hAnsi="Arial" w:cs="Arial"/>
                <w:sz w:val="22"/>
                <w:szCs w:val="22"/>
              </w:rPr>
              <w:t>P10 Comprehensive assessment of the patient is critical for treatment planning. However, completion of all assessments should not delay or preclude initiating pharmaco-therapy for opioid use disorder. If not completed before initiating treatment, assessments should be completed soon thereafter.</w:t>
            </w:r>
          </w:p>
        </w:tc>
      </w:tr>
      <w:tr w:rsidR="009D0470" w14:paraId="69B958C2" w14:textId="77777777" w:rsidTr="00C30BFE">
        <w:trPr>
          <w:trHeight w:val="1207"/>
        </w:trPr>
        <w:tc>
          <w:tcPr>
            <w:tcW w:w="3150" w:type="dxa"/>
          </w:tcPr>
          <w:p w14:paraId="04DDA2A0" w14:textId="2FE5ACB7" w:rsidR="009D0470" w:rsidRPr="00206CF7" w:rsidRDefault="00792BC1" w:rsidP="00831174">
            <w:pPr>
              <w:pStyle w:val="TableParagraph"/>
              <w:ind w:right="199"/>
            </w:pPr>
            <w:r>
              <w:t>2</w:t>
            </w:r>
            <w:r w:rsidR="004E72C5">
              <w:t>a</w:t>
            </w:r>
            <w:r w:rsidR="009D0470" w:rsidRPr="00206CF7">
              <w:t xml:space="preserve">. </w:t>
            </w:r>
            <w:r w:rsidR="00B610FD" w:rsidRPr="00206CF7">
              <w:t xml:space="preserve">Is there documentation that </w:t>
            </w:r>
            <w:r w:rsidR="00B610FD">
              <w:t>patient’s psychosocial needs have been assessed and patient has been offered or referred to psychosocial treatment based on their need</w:t>
            </w:r>
            <w:r w:rsidR="00F06355">
              <w:t>?</w:t>
            </w:r>
          </w:p>
        </w:tc>
        <w:tc>
          <w:tcPr>
            <w:tcW w:w="990" w:type="dxa"/>
          </w:tcPr>
          <w:p w14:paraId="45B48743" w14:textId="77777777" w:rsidR="009D0470" w:rsidRPr="00206CF7" w:rsidRDefault="009D0470" w:rsidP="00345827">
            <w:pPr>
              <w:pStyle w:val="TableParagraph"/>
              <w:spacing w:line="237" w:lineRule="auto"/>
              <w:ind w:left="95" w:right="486"/>
              <w:jc w:val="center"/>
            </w:pPr>
            <w:r w:rsidRPr="00206CF7">
              <w:t>Yes No</w:t>
            </w:r>
          </w:p>
        </w:tc>
        <w:tc>
          <w:tcPr>
            <w:tcW w:w="3960" w:type="dxa"/>
          </w:tcPr>
          <w:p w14:paraId="39B60133" w14:textId="33F302CA" w:rsidR="009D0470" w:rsidRPr="00192E2C" w:rsidRDefault="009D0470" w:rsidP="00192E2C">
            <w:pPr>
              <w:pStyle w:val="qowt-li-8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92E2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</w:tcPr>
          <w:p w14:paraId="1658DA3F" w14:textId="3A7A1FAA" w:rsidR="009D0470" w:rsidRPr="004E72C5" w:rsidRDefault="004E72C5" w:rsidP="00831174">
            <w:pPr>
              <w:pStyle w:val="qowt-li-80"/>
              <w:ind w:left="151"/>
              <w:rPr>
                <w:rFonts w:ascii="Arial" w:eastAsiaTheme="majorEastAsia" w:hAnsi="Arial" w:cs="Arial"/>
                <w:sz w:val="22"/>
                <w:szCs w:val="22"/>
              </w:rPr>
            </w:pPr>
            <w:r w:rsidRPr="004E72C5">
              <w:rPr>
                <w:rFonts w:ascii="Arial" w:hAnsi="Arial" w:cs="Arial"/>
                <w:sz w:val="22"/>
                <w:szCs w:val="22"/>
              </w:rPr>
              <w:t>P20 Patient’s psychosocial needs should be assessed, and patients should be offered or referred to psychosocial treatment based on their individual needs. However, a patient’s decision to decline psychosocial treatment or the absence of available psychosocial treatment should not preclude or delay pharmacotherapy, with appropriate medication management.</w:t>
            </w:r>
          </w:p>
        </w:tc>
      </w:tr>
      <w:tr w:rsidR="009D0470" w14:paraId="72010C44" w14:textId="77777777" w:rsidTr="00C30BFE">
        <w:trPr>
          <w:trHeight w:val="620"/>
        </w:trPr>
        <w:tc>
          <w:tcPr>
            <w:tcW w:w="3150" w:type="dxa"/>
          </w:tcPr>
          <w:p w14:paraId="068EFB53" w14:textId="713DFA2B" w:rsidR="009D0470" w:rsidRPr="00206CF7" w:rsidRDefault="009D0470" w:rsidP="00831174">
            <w:pPr>
              <w:ind w:left="157"/>
            </w:pPr>
            <w:r w:rsidRPr="00206CF7">
              <w:t>2</w:t>
            </w:r>
            <w:r w:rsidR="004E72C5">
              <w:t>b</w:t>
            </w:r>
            <w:r w:rsidRPr="00206CF7">
              <w:t xml:space="preserve">. </w:t>
            </w:r>
            <w:r w:rsidR="00B610FD" w:rsidRPr="00206CF7">
              <w:t>Is there documentation that</w:t>
            </w:r>
            <w:r w:rsidR="007A3BB5">
              <w:t xml:space="preserve"> pharmacotherapy with appropriate medication management was initiated and not del</w:t>
            </w:r>
            <w:r w:rsidR="000953A9">
              <w:t>ayed due to patient’s decision or availability of psychosocial treatment</w:t>
            </w:r>
            <w:r w:rsidR="00F06355">
              <w:t>?</w:t>
            </w:r>
          </w:p>
        </w:tc>
        <w:tc>
          <w:tcPr>
            <w:tcW w:w="990" w:type="dxa"/>
          </w:tcPr>
          <w:p w14:paraId="364C4165" w14:textId="77777777" w:rsidR="009D0470" w:rsidRPr="00206CF7" w:rsidRDefault="009D0470" w:rsidP="00345827">
            <w:pPr>
              <w:pStyle w:val="TableParagraph"/>
              <w:spacing w:line="237" w:lineRule="auto"/>
              <w:ind w:left="95" w:right="486"/>
              <w:jc w:val="center"/>
            </w:pPr>
            <w:r w:rsidRPr="00206CF7">
              <w:t>Yes No</w:t>
            </w:r>
          </w:p>
        </w:tc>
        <w:tc>
          <w:tcPr>
            <w:tcW w:w="3960" w:type="dxa"/>
          </w:tcPr>
          <w:p w14:paraId="267599E8" w14:textId="65616D0C" w:rsidR="009D0470" w:rsidRPr="00206CF7" w:rsidRDefault="009D0470" w:rsidP="00192E2C">
            <w:pPr>
              <w:pStyle w:val="qowt-li-8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210" w:type="dxa"/>
          </w:tcPr>
          <w:p w14:paraId="365B921C" w14:textId="22970B81" w:rsidR="009D0470" w:rsidRPr="00206CF7" w:rsidRDefault="00FB70D8" w:rsidP="007505DA">
            <w:pPr>
              <w:pStyle w:val="TableParagraph"/>
              <w:spacing w:before="2" w:line="242" w:lineRule="exact"/>
              <w:ind w:left="104" w:right="318"/>
            </w:pPr>
            <w:r>
              <w:t>P</w:t>
            </w:r>
            <w:r w:rsidR="007505DA">
              <w:t>20 P</w:t>
            </w:r>
            <w:r w:rsidR="00F2212B">
              <w:t>atient’s p</w:t>
            </w:r>
            <w:r>
              <w:t>sychosocial needs</w:t>
            </w:r>
            <w:r w:rsidR="007505DA">
              <w:t xml:space="preserve"> </w:t>
            </w:r>
            <w:r>
              <w:t>should be</w:t>
            </w:r>
            <w:r w:rsidR="007505DA">
              <w:t xml:space="preserve"> </w:t>
            </w:r>
            <w:r>
              <w:t>assessed, and patients should be offered</w:t>
            </w:r>
            <w:r w:rsidR="007505DA">
              <w:t xml:space="preserve"> </w:t>
            </w:r>
            <w:r>
              <w:t>or</w:t>
            </w:r>
            <w:r w:rsidR="007505DA">
              <w:t xml:space="preserve"> </w:t>
            </w:r>
            <w:r>
              <w:t>referred to psychosocial treatment based on their individual needs. However, a patient’s decision to decline</w:t>
            </w:r>
            <w:r w:rsidR="007505DA">
              <w:t xml:space="preserve"> </w:t>
            </w:r>
            <w:r>
              <w:t>psychosocial treatment or the absence of available psychosocial treatment should not preclude or delay pharmacotherapy, with appropriate medication management.</w:t>
            </w:r>
          </w:p>
        </w:tc>
      </w:tr>
      <w:tr w:rsidR="009D0470" w14:paraId="02D60A77" w14:textId="77777777" w:rsidTr="00C30BFE">
        <w:trPr>
          <w:trHeight w:val="1449"/>
        </w:trPr>
        <w:tc>
          <w:tcPr>
            <w:tcW w:w="3150" w:type="dxa"/>
          </w:tcPr>
          <w:p w14:paraId="2D409393" w14:textId="0609DE4C" w:rsidR="009D0470" w:rsidRDefault="009D0470" w:rsidP="00831174">
            <w:pPr>
              <w:pStyle w:val="TableParagraph"/>
              <w:ind w:right="102"/>
              <w:rPr>
                <w:sz w:val="21"/>
              </w:rPr>
            </w:pPr>
            <w:r w:rsidRPr="004B7AF6">
              <w:rPr>
                <w:szCs w:val="24"/>
              </w:rPr>
              <w:t xml:space="preserve">3.  Is there documentation that </w:t>
            </w:r>
            <w:r w:rsidR="00FF29D6">
              <w:rPr>
                <w:szCs w:val="24"/>
              </w:rPr>
              <w:t xml:space="preserve">ongoing </w:t>
            </w:r>
            <w:r w:rsidR="00BF516B">
              <w:rPr>
                <w:szCs w:val="24"/>
              </w:rPr>
              <w:t>drug testing is used to monitor patient</w:t>
            </w:r>
            <w:r w:rsidR="003C55B3">
              <w:rPr>
                <w:szCs w:val="24"/>
              </w:rPr>
              <w:t>’s substance</w:t>
            </w:r>
            <w:r w:rsidR="00FF29D6">
              <w:rPr>
                <w:szCs w:val="24"/>
              </w:rPr>
              <w:t xml:space="preserve"> u</w:t>
            </w:r>
            <w:r w:rsidR="003C55B3">
              <w:rPr>
                <w:szCs w:val="24"/>
              </w:rPr>
              <w:t>s</w:t>
            </w:r>
            <w:r w:rsidR="00FF29D6">
              <w:rPr>
                <w:szCs w:val="24"/>
              </w:rPr>
              <w:t>e</w:t>
            </w:r>
            <w:r w:rsidR="003C55B3">
              <w:rPr>
                <w:szCs w:val="24"/>
              </w:rPr>
              <w:t xml:space="preserve"> </w:t>
            </w:r>
            <w:r w:rsidR="00D75E71">
              <w:rPr>
                <w:szCs w:val="24"/>
              </w:rPr>
              <w:t xml:space="preserve">and adherence to </w:t>
            </w:r>
            <w:r w:rsidR="003C55B3">
              <w:rPr>
                <w:szCs w:val="24"/>
              </w:rPr>
              <w:t>prescribed medication</w:t>
            </w:r>
            <w:r w:rsidR="00F06355">
              <w:rPr>
                <w:szCs w:val="24"/>
              </w:rPr>
              <w:t>?</w:t>
            </w:r>
          </w:p>
        </w:tc>
        <w:tc>
          <w:tcPr>
            <w:tcW w:w="990" w:type="dxa"/>
          </w:tcPr>
          <w:p w14:paraId="216A4672" w14:textId="77777777" w:rsidR="009D0470" w:rsidRDefault="009D0470" w:rsidP="00723B44">
            <w:pPr>
              <w:pStyle w:val="TableParagraph"/>
              <w:ind w:left="185" w:right="264" w:hanging="98"/>
              <w:jc w:val="both"/>
              <w:rPr>
                <w:sz w:val="21"/>
              </w:rPr>
            </w:pPr>
            <w:r w:rsidRPr="00AE70F3">
              <w:rPr>
                <w:szCs w:val="24"/>
              </w:rPr>
              <w:t xml:space="preserve">Yes No </w:t>
            </w:r>
          </w:p>
        </w:tc>
        <w:tc>
          <w:tcPr>
            <w:tcW w:w="3960" w:type="dxa"/>
          </w:tcPr>
          <w:p w14:paraId="051D474E" w14:textId="7DAF444F" w:rsidR="009D0470" w:rsidRDefault="00D75E71" w:rsidP="00831174">
            <w:pPr>
              <w:pStyle w:val="TableParagraph"/>
              <w:tabs>
                <w:tab w:val="left" w:pos="247"/>
              </w:tabs>
              <w:spacing w:before="4" w:line="240" w:lineRule="exact"/>
              <w:ind w:left="106" w:right="259"/>
              <w:rPr>
                <w:i/>
                <w:sz w:val="21"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210" w:type="dxa"/>
          </w:tcPr>
          <w:p w14:paraId="686BB638" w14:textId="16E3B3CF" w:rsidR="00F83F39" w:rsidRPr="00F83F39" w:rsidRDefault="00F83F39" w:rsidP="00F83F39">
            <w:pPr>
              <w:pStyle w:val="TableParagraph"/>
              <w:spacing w:before="1"/>
              <w:ind w:left="104" w:right="191"/>
              <w:rPr>
                <w:szCs w:val="24"/>
              </w:rPr>
            </w:pPr>
            <w:r>
              <w:rPr>
                <w:szCs w:val="24"/>
              </w:rPr>
              <w:t xml:space="preserve">P20 </w:t>
            </w:r>
            <w:r w:rsidRPr="00F83F39">
              <w:rPr>
                <w:szCs w:val="24"/>
              </w:rPr>
              <w:t>Drug testing is recommended during the comprehensive assessment process, and during</w:t>
            </w:r>
            <w:r>
              <w:rPr>
                <w:szCs w:val="24"/>
              </w:rPr>
              <w:t xml:space="preserve"> </w:t>
            </w:r>
            <w:r w:rsidRPr="00F83F39">
              <w:rPr>
                <w:szCs w:val="24"/>
              </w:rPr>
              <w:t>treatment to monitor patients for adherence to prescribed</w:t>
            </w:r>
            <w:r>
              <w:rPr>
                <w:szCs w:val="24"/>
              </w:rPr>
              <w:t xml:space="preserve"> </w:t>
            </w:r>
            <w:r w:rsidRPr="00F83F39">
              <w:rPr>
                <w:szCs w:val="24"/>
              </w:rPr>
              <w:t>medications and use of alcohol, illicit, and controlled</w:t>
            </w:r>
          </w:p>
          <w:p w14:paraId="29A38FF2" w14:textId="494625ED" w:rsidR="009D0470" w:rsidRPr="00E558B0" w:rsidRDefault="00F83F39" w:rsidP="00F83F39">
            <w:pPr>
              <w:pStyle w:val="TableParagraph"/>
              <w:spacing w:before="1"/>
              <w:ind w:left="104" w:right="191"/>
              <w:rPr>
                <w:szCs w:val="24"/>
              </w:rPr>
            </w:pPr>
            <w:r w:rsidRPr="00F83F39">
              <w:rPr>
                <w:szCs w:val="24"/>
              </w:rPr>
              <w:t xml:space="preserve">substances. </w:t>
            </w:r>
          </w:p>
        </w:tc>
      </w:tr>
    </w:tbl>
    <w:p w14:paraId="3ADF5C7A" w14:textId="77777777" w:rsidR="002E0E8B" w:rsidRDefault="002E0E8B" w:rsidP="00B13F49"/>
    <w:p w14:paraId="302F397A" w14:textId="177540A5" w:rsidR="00085FA9" w:rsidRPr="00723B44" w:rsidRDefault="00085FA9" w:rsidP="00723B44">
      <w:pPr>
        <w:pStyle w:val="ListParagraph"/>
        <w:numPr>
          <w:ilvl w:val="0"/>
          <w:numId w:val="13"/>
        </w:numPr>
        <w:tabs>
          <w:tab w:val="left" w:pos="821"/>
        </w:tabs>
        <w:spacing w:before="93" w:line="259" w:lineRule="auto"/>
        <w:ind w:right="559"/>
        <w:outlineLvl w:val="0"/>
        <w:rPr>
          <w:b/>
          <w:bCs/>
        </w:rPr>
      </w:pPr>
      <w:r w:rsidRPr="00723B44">
        <w:rPr>
          <w:b/>
          <w:bCs/>
        </w:rPr>
        <w:lastRenderedPageBreak/>
        <w:t xml:space="preserve">American Academy of Child and Adolescent Psychiatry </w:t>
      </w:r>
      <w:hyperlink r:id="rId7">
        <w:r w:rsidRPr="00723B44">
          <w:rPr>
            <w:b/>
            <w:bCs/>
            <w:color w:val="1F497D"/>
          </w:rPr>
          <w:t>Practice Parameter for the Assessment and Treatment of</w:t>
        </w:r>
      </w:hyperlink>
      <w:hyperlink r:id="rId8">
        <w:r w:rsidRPr="00723B44">
          <w:rPr>
            <w:b/>
            <w:bCs/>
            <w:color w:val="1F497D"/>
          </w:rPr>
          <w:t xml:space="preserve"> Children and Adolescents with Post</w:t>
        </w:r>
      </w:hyperlink>
      <w:r w:rsidRPr="00723B44">
        <w:rPr>
          <w:b/>
          <w:bCs/>
          <w:color w:val="1F497D"/>
        </w:rPr>
        <w:t xml:space="preserve"> Traumatic Stress Disorder</w:t>
      </w:r>
    </w:p>
    <w:p w14:paraId="1EBCD0CB" w14:textId="464F8757" w:rsidR="00085FA9" w:rsidRPr="00085FA9" w:rsidRDefault="00085FA9" w:rsidP="00B13F49">
      <w:pPr>
        <w:spacing w:before="3" w:line="256" w:lineRule="auto"/>
        <w:ind w:left="1540" w:right="1287"/>
        <w:rPr>
          <w:i/>
        </w:rPr>
      </w:pPr>
      <w:r w:rsidRPr="00085FA9">
        <w:rPr>
          <w:i/>
        </w:rPr>
        <w:t xml:space="preserve">Scope: Under 18 Years Old with a diagnosis of </w:t>
      </w:r>
      <w:r w:rsidR="00696A12">
        <w:rPr>
          <w:i/>
        </w:rPr>
        <w:t>Post-Traumatic</w:t>
      </w:r>
      <w:r>
        <w:rPr>
          <w:i/>
        </w:rPr>
        <w:t xml:space="preserve"> Stress</w:t>
      </w:r>
      <w:r w:rsidRPr="00085FA9">
        <w:rPr>
          <w:i/>
        </w:rPr>
        <w:t xml:space="preserve"> Disorder (</w:t>
      </w:r>
      <w:r>
        <w:rPr>
          <w:i/>
        </w:rPr>
        <w:t>PTS</w:t>
      </w:r>
      <w:r w:rsidRPr="00085FA9">
        <w:rPr>
          <w:i/>
        </w:rPr>
        <w:t xml:space="preserve">D) </w:t>
      </w:r>
      <w:r>
        <w:rPr>
          <w:i/>
        </w:rPr>
        <w:t xml:space="preserve"> </w:t>
      </w:r>
    </w:p>
    <w:p w14:paraId="4CA2BC8F" w14:textId="1BBD0086" w:rsidR="00085FA9" w:rsidRPr="00085FA9" w:rsidRDefault="00CE7E33" w:rsidP="00085FA9">
      <w:pPr>
        <w:numPr>
          <w:ilvl w:val="1"/>
          <w:numId w:val="5"/>
        </w:numPr>
        <w:tabs>
          <w:tab w:val="left" w:pos="2260"/>
          <w:tab w:val="left" w:pos="2261"/>
        </w:tabs>
        <w:spacing w:before="4"/>
        <w:ind w:hanging="361"/>
        <w:outlineLvl w:val="1"/>
      </w:pPr>
      <w:r w:rsidRPr="00085FA9">
        <w:t>Post-Traumatic</w:t>
      </w:r>
      <w:r w:rsidR="00085FA9" w:rsidRPr="00085FA9">
        <w:t xml:space="preserve"> Stress Disorder (DSM 5: 3</w:t>
      </w:r>
      <w:r w:rsidR="00085FA9">
        <w:t>09.81</w:t>
      </w:r>
      <w:r w:rsidR="00085FA9" w:rsidRPr="00085FA9">
        <w:t xml:space="preserve"> and ICD 10</w:t>
      </w:r>
      <w:r w:rsidR="00085FA9">
        <w:t xml:space="preserve"> F43.10</w:t>
      </w:r>
      <w:r w:rsidR="00085FA9" w:rsidRPr="00085FA9">
        <w:t>)</w:t>
      </w:r>
    </w:p>
    <w:p w14:paraId="2269D62B" w14:textId="77777777" w:rsidR="00085FA9" w:rsidRPr="00085FA9" w:rsidRDefault="00085FA9" w:rsidP="00B13F49">
      <w:pPr>
        <w:spacing w:before="13"/>
        <w:ind w:left="1540"/>
        <w:rPr>
          <w:i/>
        </w:rPr>
      </w:pPr>
      <w:r w:rsidRPr="00085FA9">
        <w:rPr>
          <w:i/>
        </w:rPr>
        <w:t>Setting: Outpatient</w:t>
      </w:r>
    </w:p>
    <w:p w14:paraId="5149F3CE" w14:textId="77777777" w:rsidR="00085FA9" w:rsidRPr="00085FA9" w:rsidRDefault="00085FA9" w:rsidP="00B13F49">
      <w:pPr>
        <w:spacing w:before="18"/>
        <w:ind w:left="1540"/>
        <w:rPr>
          <w:i/>
        </w:rPr>
      </w:pPr>
      <w:r w:rsidRPr="00085FA9">
        <w:rPr>
          <w:i/>
        </w:rPr>
        <w:t>Evidence Found: Intake Assessments</w:t>
      </w:r>
    </w:p>
    <w:p w14:paraId="21ADF563" w14:textId="77777777" w:rsidR="00085FA9" w:rsidRDefault="00085FA9"/>
    <w:tbl>
      <w:tblPr>
        <w:tblW w:w="1431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1047"/>
        <w:gridCol w:w="3937"/>
        <w:gridCol w:w="6210"/>
      </w:tblGrid>
      <w:tr w:rsidR="00085FA9" w14:paraId="3822D249" w14:textId="77777777" w:rsidTr="00C30BFE">
        <w:trPr>
          <w:trHeight w:val="506"/>
        </w:trPr>
        <w:tc>
          <w:tcPr>
            <w:tcW w:w="3116" w:type="dxa"/>
            <w:shd w:val="clear" w:color="auto" w:fill="44546A" w:themeFill="text2"/>
          </w:tcPr>
          <w:p w14:paraId="0A1E36AD" w14:textId="77777777" w:rsidR="00085FA9" w:rsidRDefault="00085FA9" w:rsidP="004A30CB">
            <w:pPr>
              <w:pStyle w:val="TableParagraph"/>
              <w:spacing w:line="249" w:lineRule="exact"/>
              <w:ind w:left="1017"/>
              <w:rPr>
                <w:b/>
              </w:rPr>
            </w:pPr>
            <w:r>
              <w:rPr>
                <w:b/>
                <w:color w:val="FFFFFF"/>
              </w:rPr>
              <w:t>Questions</w:t>
            </w:r>
          </w:p>
        </w:tc>
        <w:tc>
          <w:tcPr>
            <w:tcW w:w="1047" w:type="dxa"/>
            <w:shd w:val="clear" w:color="auto" w:fill="44546A" w:themeFill="text2"/>
          </w:tcPr>
          <w:p w14:paraId="44243BDA" w14:textId="77777777" w:rsidR="00085FA9" w:rsidRDefault="00085FA9" w:rsidP="004A30CB">
            <w:pPr>
              <w:pStyle w:val="TableParagraph"/>
              <w:spacing w:line="249" w:lineRule="exact"/>
              <w:ind w:left="124"/>
              <w:rPr>
                <w:b/>
              </w:rPr>
            </w:pPr>
            <w:r>
              <w:rPr>
                <w:b/>
                <w:color w:val="FFFFFF"/>
              </w:rPr>
              <w:t>Answer</w:t>
            </w:r>
          </w:p>
          <w:p w14:paraId="3D18EC18" w14:textId="77777777" w:rsidR="00085FA9" w:rsidRDefault="00085FA9" w:rsidP="004A30CB">
            <w:pPr>
              <w:pStyle w:val="TableParagraph"/>
              <w:spacing w:before="1" w:line="237" w:lineRule="exact"/>
              <w:rPr>
                <w:b/>
              </w:rPr>
            </w:pPr>
            <w:r>
              <w:rPr>
                <w:b/>
                <w:color w:val="FFFFFF"/>
              </w:rPr>
              <w:t>Options</w:t>
            </w:r>
          </w:p>
        </w:tc>
        <w:tc>
          <w:tcPr>
            <w:tcW w:w="3937" w:type="dxa"/>
            <w:shd w:val="clear" w:color="auto" w:fill="44546A" w:themeFill="text2"/>
          </w:tcPr>
          <w:p w14:paraId="00261CA7" w14:textId="77777777" w:rsidR="00085FA9" w:rsidRDefault="00085FA9" w:rsidP="00C30BFE">
            <w:pPr>
              <w:pStyle w:val="TableParagraph"/>
              <w:spacing w:line="249" w:lineRule="exact"/>
              <w:ind w:left="1241" w:right="1859"/>
              <w:jc w:val="center"/>
              <w:rPr>
                <w:b/>
              </w:rPr>
            </w:pPr>
            <w:r>
              <w:rPr>
                <w:b/>
                <w:color w:val="FFFFFF"/>
              </w:rPr>
              <w:t>Notes</w:t>
            </w:r>
          </w:p>
        </w:tc>
        <w:tc>
          <w:tcPr>
            <w:tcW w:w="6210" w:type="dxa"/>
            <w:shd w:val="clear" w:color="auto" w:fill="44546A" w:themeFill="text2"/>
          </w:tcPr>
          <w:p w14:paraId="5125F487" w14:textId="77777777" w:rsidR="00085FA9" w:rsidRDefault="00085FA9" w:rsidP="004A30CB">
            <w:pPr>
              <w:pStyle w:val="TableParagraph"/>
              <w:spacing w:line="249" w:lineRule="exact"/>
              <w:ind w:left="1648" w:right="1641"/>
              <w:jc w:val="center"/>
              <w:rPr>
                <w:b/>
              </w:rPr>
            </w:pPr>
            <w:r>
              <w:rPr>
                <w:b/>
                <w:color w:val="FFFFFF"/>
              </w:rPr>
              <w:t>Reference</w:t>
            </w:r>
          </w:p>
        </w:tc>
      </w:tr>
      <w:tr w:rsidR="00085FA9" w14:paraId="3A4BC29B" w14:textId="77777777" w:rsidTr="00C30BFE">
        <w:trPr>
          <w:trHeight w:val="440"/>
        </w:trPr>
        <w:tc>
          <w:tcPr>
            <w:tcW w:w="3116" w:type="dxa"/>
          </w:tcPr>
          <w:p w14:paraId="6F9AB06C" w14:textId="692B2EAE" w:rsidR="00085FA9" w:rsidRDefault="00085FA9" w:rsidP="00085FA9">
            <w:pPr>
              <w:pStyle w:val="TableParagraph"/>
              <w:ind w:right="132"/>
            </w:pPr>
            <w:r>
              <w:t xml:space="preserve">1. Is there documentation that the assessment of </w:t>
            </w:r>
            <w:r w:rsidR="00E2139C">
              <w:t>routine screening for traumatic incidents and PTSD symptoms at intake.</w:t>
            </w:r>
          </w:p>
        </w:tc>
        <w:tc>
          <w:tcPr>
            <w:tcW w:w="1047" w:type="dxa"/>
          </w:tcPr>
          <w:p w14:paraId="1C6F07C3" w14:textId="77777777" w:rsidR="00085FA9" w:rsidRDefault="00085FA9" w:rsidP="004A30CB">
            <w:pPr>
              <w:pStyle w:val="TableParagraph"/>
              <w:spacing w:line="242" w:lineRule="auto"/>
              <w:ind w:left="383" w:right="305" w:hanging="51"/>
            </w:pPr>
            <w:r>
              <w:t>Yes No</w:t>
            </w:r>
          </w:p>
        </w:tc>
        <w:tc>
          <w:tcPr>
            <w:tcW w:w="3937" w:type="dxa"/>
          </w:tcPr>
          <w:p w14:paraId="6A89864D" w14:textId="6EFEC550" w:rsidR="00085FA9" w:rsidRPr="00386D11" w:rsidRDefault="00085FA9" w:rsidP="004A30C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10" w:type="dxa"/>
          </w:tcPr>
          <w:p w14:paraId="38F2163C" w14:textId="652F5627" w:rsidR="00085FA9" w:rsidRDefault="00085FA9" w:rsidP="004A30CB">
            <w:pPr>
              <w:pStyle w:val="TableParagraph"/>
              <w:ind w:left="105" w:right="123"/>
            </w:pPr>
            <w:r>
              <w:t xml:space="preserve">P418; Recommendation 1. The psychiatric assessment of children and </w:t>
            </w:r>
            <w:r w:rsidR="00B13F49">
              <w:t>a</w:t>
            </w:r>
            <w:r>
              <w:t>dolescents should routinely include questions about traumatic experiences and PTSD symptoms (MS).</w:t>
            </w:r>
          </w:p>
        </w:tc>
      </w:tr>
      <w:tr w:rsidR="006A1190" w14:paraId="38095DD9" w14:textId="77777777" w:rsidTr="00C30BFE">
        <w:trPr>
          <w:trHeight w:val="1043"/>
        </w:trPr>
        <w:tc>
          <w:tcPr>
            <w:tcW w:w="3116" w:type="dxa"/>
          </w:tcPr>
          <w:p w14:paraId="6D657BC4" w14:textId="0C8FCE26" w:rsidR="006A1190" w:rsidRDefault="006A1190" w:rsidP="00085FA9">
            <w:pPr>
              <w:pStyle w:val="TableParagraph"/>
              <w:ind w:right="132"/>
            </w:pPr>
            <w:r>
              <w:t>2. Is there documentation that the clinical conducted a formal evaluation to determine presence of PTSD, severity of symptoms and degree of functional impairment.  Parent or other caregivers should be included in this evaluation wherever possible.</w:t>
            </w:r>
          </w:p>
        </w:tc>
        <w:tc>
          <w:tcPr>
            <w:tcW w:w="1047" w:type="dxa"/>
          </w:tcPr>
          <w:p w14:paraId="520A1D66" w14:textId="77777777" w:rsidR="006A1190" w:rsidRDefault="006A1190" w:rsidP="006A1190">
            <w:pPr>
              <w:pStyle w:val="TableParagraph"/>
              <w:ind w:left="383" w:right="305" w:hanging="51"/>
            </w:pPr>
            <w:r>
              <w:t>Yes No</w:t>
            </w:r>
          </w:p>
          <w:p w14:paraId="6949FF0B" w14:textId="6916A659" w:rsidR="006A1190" w:rsidRDefault="006A1190" w:rsidP="006A1190">
            <w:pPr>
              <w:pStyle w:val="TableParagraph"/>
              <w:spacing w:line="242" w:lineRule="auto"/>
              <w:ind w:left="383" w:right="305" w:hanging="51"/>
            </w:pPr>
            <w:r>
              <w:t>N/A</w:t>
            </w:r>
          </w:p>
        </w:tc>
        <w:tc>
          <w:tcPr>
            <w:tcW w:w="3937" w:type="dxa"/>
          </w:tcPr>
          <w:p w14:paraId="4C405EC9" w14:textId="15F90526" w:rsidR="006A1190" w:rsidRDefault="00431DD5" w:rsidP="00431DD5">
            <w:pPr>
              <w:pStyle w:val="TableParagraph"/>
              <w:tabs>
                <w:tab w:val="left" w:pos="257"/>
              </w:tabs>
              <w:ind w:left="0" w:right="120"/>
              <w:rPr>
                <w:i/>
              </w:rPr>
            </w:pPr>
            <w:r>
              <w:rPr>
                <w:i/>
              </w:rPr>
              <w:t>*</w:t>
            </w:r>
            <w:r w:rsidR="006A1190">
              <w:rPr>
                <w:i/>
              </w:rPr>
              <w:t>N/A would be used if the caregivers</w:t>
            </w:r>
            <w:r w:rsidR="006A1190">
              <w:rPr>
                <w:i/>
                <w:spacing w:val="-15"/>
              </w:rPr>
              <w:t xml:space="preserve"> </w:t>
            </w:r>
            <w:r w:rsidR="006A1190">
              <w:rPr>
                <w:i/>
              </w:rPr>
              <w:t>were</w:t>
            </w:r>
            <w:r>
              <w:rPr>
                <w:i/>
              </w:rPr>
              <w:t xml:space="preserve"> </w:t>
            </w:r>
            <w:r w:rsidR="006A1190">
              <w:rPr>
                <w:i/>
              </w:rPr>
              <w:t>not present in the</w:t>
            </w:r>
            <w:r w:rsidR="006A1190">
              <w:rPr>
                <w:i/>
                <w:spacing w:val="-2"/>
              </w:rPr>
              <w:t xml:space="preserve"> </w:t>
            </w:r>
            <w:r w:rsidR="006A1190">
              <w:rPr>
                <w:i/>
              </w:rPr>
              <w:t>assessment</w:t>
            </w:r>
          </w:p>
          <w:p w14:paraId="56CA381D" w14:textId="5C8119E9" w:rsidR="006A1190" w:rsidRPr="00386D11" w:rsidRDefault="006A1190" w:rsidP="006A1190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i/>
              </w:rPr>
              <w:t>documentation.</w:t>
            </w:r>
          </w:p>
        </w:tc>
        <w:tc>
          <w:tcPr>
            <w:tcW w:w="6210" w:type="dxa"/>
          </w:tcPr>
          <w:p w14:paraId="26D798B0" w14:textId="41E98D74" w:rsidR="006A1190" w:rsidRDefault="006A1190" w:rsidP="004A30CB">
            <w:pPr>
              <w:pStyle w:val="TableParagraph"/>
              <w:ind w:left="105" w:right="123"/>
            </w:pPr>
            <w:r w:rsidRPr="00B632AE">
              <w:t>P418; Recommendation 2. If screening indicates significant PTSD symptoms, the clinician should conduct a formal evaluation to determine whether PTSD is present, the severity of those symptoms and the degree of functional impairment.  Parents and other</w:t>
            </w:r>
            <w:r>
              <w:t xml:space="preserve"> </w:t>
            </w:r>
            <w:r w:rsidRPr="00B632AE">
              <w:t>caregivers should be included in this evaluation whenever possible (MS).</w:t>
            </w:r>
          </w:p>
        </w:tc>
      </w:tr>
      <w:tr w:rsidR="00085FA9" w14:paraId="7C086E4E" w14:textId="77777777" w:rsidTr="00C30BFE">
        <w:trPr>
          <w:trHeight w:val="1367"/>
        </w:trPr>
        <w:tc>
          <w:tcPr>
            <w:tcW w:w="3116" w:type="dxa"/>
          </w:tcPr>
          <w:p w14:paraId="077580BD" w14:textId="6901C573" w:rsidR="00085FA9" w:rsidRDefault="006A1190" w:rsidP="004A30CB">
            <w:pPr>
              <w:pStyle w:val="TableParagraph"/>
              <w:ind w:right="178"/>
            </w:pPr>
            <w:r>
              <w:t>3</w:t>
            </w:r>
            <w:r w:rsidR="00085FA9">
              <w:t xml:space="preserve">. Is there documentation that the </w:t>
            </w:r>
            <w:r w:rsidR="00D9352A">
              <w:t>that</w:t>
            </w:r>
            <w:r w:rsidR="001F714B">
              <w:t xml:space="preserve"> Trauma-Based CBT is being used or rationale for why it is not being offered.</w:t>
            </w:r>
          </w:p>
        </w:tc>
        <w:tc>
          <w:tcPr>
            <w:tcW w:w="1047" w:type="dxa"/>
          </w:tcPr>
          <w:p w14:paraId="41D890A0" w14:textId="3E39E94E" w:rsidR="00085FA9" w:rsidRDefault="00085FA9" w:rsidP="004A30CB">
            <w:pPr>
              <w:pStyle w:val="TableParagraph"/>
              <w:ind w:left="340" w:right="322" w:hanging="8"/>
              <w:jc w:val="both"/>
            </w:pPr>
            <w:r>
              <w:t xml:space="preserve">Yes No </w:t>
            </w:r>
          </w:p>
        </w:tc>
        <w:tc>
          <w:tcPr>
            <w:tcW w:w="3937" w:type="dxa"/>
          </w:tcPr>
          <w:p w14:paraId="48C80EAC" w14:textId="0D9F0713" w:rsidR="00085FA9" w:rsidRPr="00173190" w:rsidRDefault="00E8199D" w:rsidP="004A30CB">
            <w:pPr>
              <w:pStyle w:val="TableParagraph"/>
              <w:spacing w:line="234" w:lineRule="exact"/>
              <w:rPr>
                <w:i/>
              </w:rPr>
            </w:pPr>
            <w:r w:rsidRPr="00173190">
              <w:t>Cognitive Behavioral and psychodynamic trauma- focused therapies. Eye Movement Desensitization and Reprocessing (EMDR) is included under CBT interventions.</w:t>
            </w:r>
          </w:p>
        </w:tc>
        <w:tc>
          <w:tcPr>
            <w:tcW w:w="6210" w:type="dxa"/>
          </w:tcPr>
          <w:p w14:paraId="3DE7ADEF" w14:textId="6C4B3F8A" w:rsidR="00085FA9" w:rsidRDefault="00B632AE" w:rsidP="004A30CB">
            <w:pPr>
              <w:pStyle w:val="TableParagraph"/>
              <w:ind w:left="105" w:right="233"/>
            </w:pPr>
            <w:r>
              <w:t>P421 Recommendation 6. Trauma-Focused Psychotherapies Should Be Considered First-Line Treatments for Children and Adolescents With PTSD (MS).</w:t>
            </w:r>
          </w:p>
        </w:tc>
      </w:tr>
    </w:tbl>
    <w:p w14:paraId="56F7208B" w14:textId="61A84857" w:rsidR="0038399F" w:rsidRDefault="0038399F"/>
    <w:p w14:paraId="0FEC1543" w14:textId="6EF87524" w:rsidR="0038399F" w:rsidRDefault="0038399F"/>
    <w:tbl>
      <w:tblPr>
        <w:tblStyle w:val="TableGrid"/>
        <w:tblW w:w="14400" w:type="dxa"/>
        <w:tblInd w:w="-545" w:type="dxa"/>
        <w:tblLook w:val="04A0" w:firstRow="1" w:lastRow="0" w:firstColumn="1" w:lastColumn="0" w:noHBand="0" w:noVBand="1"/>
      </w:tblPr>
      <w:tblGrid>
        <w:gridCol w:w="14400"/>
      </w:tblGrid>
      <w:tr w:rsidR="00E00A30" w14:paraId="41ED7DC2" w14:textId="77777777" w:rsidTr="008B6AB5">
        <w:tc>
          <w:tcPr>
            <w:tcW w:w="14400" w:type="dxa"/>
            <w:shd w:val="clear" w:color="auto" w:fill="D9E2F3" w:themeFill="accent1" w:themeFillTint="33"/>
          </w:tcPr>
          <w:p w14:paraId="661EAD5C" w14:textId="77777777" w:rsidR="00E00A30" w:rsidRPr="00413218" w:rsidRDefault="00E00A30" w:rsidP="00831174">
            <w:pPr>
              <w:rPr>
                <w:rFonts w:ascii="Times New Roman" w:hAnsi="Times New Roman" w:cs="Times New Roman"/>
                <w:b/>
                <w:bCs/>
              </w:rPr>
            </w:pPr>
            <w:r w:rsidRPr="00413218">
              <w:rPr>
                <w:rFonts w:ascii="Times New Roman" w:hAnsi="Times New Roman" w:cs="Times New Roman"/>
                <w:b/>
                <w:bCs/>
              </w:rPr>
              <w:t>Reference</w:t>
            </w:r>
          </w:p>
        </w:tc>
      </w:tr>
      <w:tr w:rsidR="00E00A30" w14:paraId="1085DA4C" w14:textId="77777777" w:rsidTr="008B6AB5">
        <w:tc>
          <w:tcPr>
            <w:tcW w:w="14400" w:type="dxa"/>
          </w:tcPr>
          <w:p w14:paraId="4EFE656D" w14:textId="23FDC127" w:rsidR="00E00A30" w:rsidRPr="00413218" w:rsidRDefault="00E00A30" w:rsidP="00831174">
            <w:pPr>
              <w:rPr>
                <w:rFonts w:ascii="Times New Roman" w:hAnsi="Times New Roman" w:cs="Times New Roman"/>
              </w:rPr>
            </w:pPr>
            <w:r w:rsidRPr="00413218">
              <w:rPr>
                <w:rFonts w:ascii="Times New Roman" w:hAnsi="Times New Roman" w:cs="Times New Roman"/>
              </w:rPr>
              <w:t xml:space="preserve">National Committee for Quality Assurance (NCQA), QI </w:t>
            </w:r>
            <w:r>
              <w:rPr>
                <w:rFonts w:ascii="Times New Roman" w:hAnsi="Times New Roman" w:cs="Times New Roman"/>
              </w:rPr>
              <w:t>9</w:t>
            </w:r>
            <w:r w:rsidRPr="00413218">
              <w:rPr>
                <w:rFonts w:ascii="Times New Roman" w:hAnsi="Times New Roman" w:cs="Times New Roman"/>
              </w:rPr>
              <w:t>, Element B Performance Measurement</w:t>
            </w:r>
            <w:r>
              <w:rPr>
                <w:rFonts w:ascii="Times New Roman" w:hAnsi="Times New Roman" w:cs="Times New Roman"/>
              </w:rPr>
              <w:t>, 2022.</w:t>
            </w:r>
          </w:p>
        </w:tc>
      </w:tr>
    </w:tbl>
    <w:p w14:paraId="13902636" w14:textId="77777777" w:rsidR="00D55D36" w:rsidRDefault="00D55D36" w:rsidP="00D55D36"/>
    <w:sectPr w:rsidR="00D55D36" w:rsidSect="00696A12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7D61" w14:textId="77777777" w:rsidR="00441B27" w:rsidRDefault="00441B27" w:rsidP="00EB0B64">
      <w:r>
        <w:separator/>
      </w:r>
    </w:p>
  </w:endnote>
  <w:endnote w:type="continuationSeparator" w:id="0">
    <w:p w14:paraId="33551B8D" w14:textId="77777777" w:rsidR="00441B27" w:rsidRDefault="00441B27" w:rsidP="00EB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74B8" w14:textId="77777777" w:rsidR="00441B27" w:rsidRDefault="00441B27" w:rsidP="00EB0B64">
      <w:r>
        <w:separator/>
      </w:r>
    </w:p>
  </w:footnote>
  <w:footnote w:type="continuationSeparator" w:id="0">
    <w:p w14:paraId="1A04CE5F" w14:textId="77777777" w:rsidR="00441B27" w:rsidRDefault="00441B27" w:rsidP="00EB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F7D5" w14:textId="7580D829" w:rsidR="00EB0B64" w:rsidRPr="0053172A" w:rsidRDefault="00696A12" w:rsidP="0005447B">
    <w:pPr>
      <w:pStyle w:val="Header"/>
      <w:jc w:val="center"/>
      <w:rPr>
        <w:b/>
        <w:bCs/>
        <w:caps/>
        <w:color w:val="2F5496" w:themeColor="accent1" w:themeShade="BF"/>
        <w:sz w:val="24"/>
        <w:szCs w:val="24"/>
      </w:rPr>
    </w:pPr>
    <w:sdt>
      <w:sdtPr>
        <w:rPr>
          <w:b/>
          <w:bCs/>
          <w:color w:val="2F5496" w:themeColor="accent1" w:themeShade="BF"/>
          <w:sz w:val="24"/>
          <w:szCs w:val="24"/>
        </w:rPr>
        <w:alias w:val="Title"/>
        <w:tag w:val=""/>
        <w:id w:val="-1954942076"/>
        <w:placeholder>
          <w:docPart w:val="AD7FDF60D05442CCA58E25E108ECAF7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B0B64" w:rsidRPr="0053172A">
          <w:rPr>
            <w:b/>
            <w:bCs/>
            <w:color w:val="2F5496" w:themeColor="accent1" w:themeShade="BF"/>
            <w:sz w:val="24"/>
            <w:szCs w:val="24"/>
          </w:rPr>
          <w:t>202</w:t>
        </w:r>
        <w:r>
          <w:rPr>
            <w:b/>
            <w:bCs/>
            <w:color w:val="2F5496" w:themeColor="accent1" w:themeShade="BF"/>
            <w:sz w:val="24"/>
            <w:szCs w:val="24"/>
          </w:rPr>
          <w:t>3</w:t>
        </w:r>
        <w:r w:rsidR="00EB0B64" w:rsidRPr="0053172A">
          <w:rPr>
            <w:b/>
            <w:bCs/>
            <w:color w:val="2F5496" w:themeColor="accent1" w:themeShade="BF"/>
            <w:sz w:val="24"/>
            <w:szCs w:val="24"/>
          </w:rPr>
          <w:t xml:space="preserve"> Provider Clinical Practice Performance Measurement Tool – Internal User Guide</w:t>
        </w:r>
      </w:sdtContent>
    </w:sdt>
  </w:p>
  <w:p w14:paraId="5DF4873B" w14:textId="77777777" w:rsidR="00EB0B64" w:rsidRPr="0053172A" w:rsidRDefault="00EB0B64">
    <w:pPr>
      <w:pStyle w:val="Header"/>
      <w:rPr>
        <w:b/>
        <w:bCs/>
        <w:color w:val="2F5496" w:themeColor="accent1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1B0"/>
    <w:multiLevelType w:val="hybridMultilevel"/>
    <w:tmpl w:val="C3A41480"/>
    <w:lvl w:ilvl="0" w:tplc="D0422974">
      <w:numFmt w:val="bullet"/>
      <w:lvlText w:val=""/>
      <w:lvlJc w:val="left"/>
      <w:pPr>
        <w:ind w:left="753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C7AC85CA"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en-US"/>
      </w:rPr>
    </w:lvl>
    <w:lvl w:ilvl="2" w:tplc="086A0B5A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3" w:tplc="BC3CD6EC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en-US"/>
      </w:rPr>
    </w:lvl>
    <w:lvl w:ilvl="4" w:tplc="B96E40DE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en-US"/>
      </w:rPr>
    </w:lvl>
    <w:lvl w:ilvl="5" w:tplc="CF7097EA">
      <w:numFmt w:val="bullet"/>
      <w:lvlText w:val="•"/>
      <w:lvlJc w:val="left"/>
      <w:pPr>
        <w:ind w:left="3166" w:hanging="360"/>
      </w:pPr>
      <w:rPr>
        <w:rFonts w:hint="default"/>
        <w:lang w:val="en-US" w:eastAsia="en-US" w:bidi="en-US"/>
      </w:rPr>
    </w:lvl>
    <w:lvl w:ilvl="6" w:tplc="6F324DB0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en-US"/>
      </w:rPr>
    </w:lvl>
    <w:lvl w:ilvl="7" w:tplc="B5FE8340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en-US"/>
      </w:rPr>
    </w:lvl>
    <w:lvl w:ilvl="8" w:tplc="95567DC8">
      <w:numFmt w:val="bullet"/>
      <w:lvlText w:val="•"/>
      <w:lvlJc w:val="left"/>
      <w:pPr>
        <w:ind w:left="4609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4A73323"/>
    <w:multiLevelType w:val="hybridMultilevel"/>
    <w:tmpl w:val="FEC675DA"/>
    <w:lvl w:ilvl="0" w:tplc="94EC97E2">
      <w:numFmt w:val="bullet"/>
      <w:lvlText w:val="*"/>
      <w:lvlJc w:val="left"/>
      <w:pPr>
        <w:ind w:left="107" w:hanging="140"/>
      </w:pPr>
      <w:rPr>
        <w:rFonts w:ascii="Arial" w:eastAsia="Arial" w:hAnsi="Arial" w:cs="Arial" w:hint="default"/>
        <w:i/>
        <w:w w:val="100"/>
        <w:sz w:val="21"/>
        <w:szCs w:val="21"/>
        <w:lang w:val="en-US" w:eastAsia="en-US" w:bidi="en-US"/>
      </w:rPr>
    </w:lvl>
    <w:lvl w:ilvl="1" w:tplc="4CFA8F66">
      <w:numFmt w:val="bullet"/>
      <w:lvlText w:val="•"/>
      <w:lvlJc w:val="left"/>
      <w:pPr>
        <w:ind w:left="512" w:hanging="140"/>
      </w:pPr>
      <w:rPr>
        <w:rFonts w:hint="default"/>
        <w:lang w:val="en-US" w:eastAsia="en-US" w:bidi="en-US"/>
      </w:rPr>
    </w:lvl>
    <w:lvl w:ilvl="2" w:tplc="CACED9E2">
      <w:numFmt w:val="bullet"/>
      <w:lvlText w:val="•"/>
      <w:lvlJc w:val="left"/>
      <w:pPr>
        <w:ind w:left="924" w:hanging="140"/>
      </w:pPr>
      <w:rPr>
        <w:rFonts w:hint="default"/>
        <w:lang w:val="en-US" w:eastAsia="en-US" w:bidi="en-US"/>
      </w:rPr>
    </w:lvl>
    <w:lvl w:ilvl="3" w:tplc="5DAABCEC">
      <w:numFmt w:val="bullet"/>
      <w:lvlText w:val="•"/>
      <w:lvlJc w:val="left"/>
      <w:pPr>
        <w:ind w:left="1336" w:hanging="140"/>
      </w:pPr>
      <w:rPr>
        <w:rFonts w:hint="default"/>
        <w:lang w:val="en-US" w:eastAsia="en-US" w:bidi="en-US"/>
      </w:rPr>
    </w:lvl>
    <w:lvl w:ilvl="4" w:tplc="4CC20E1C">
      <w:numFmt w:val="bullet"/>
      <w:lvlText w:val="•"/>
      <w:lvlJc w:val="left"/>
      <w:pPr>
        <w:ind w:left="1748" w:hanging="140"/>
      </w:pPr>
      <w:rPr>
        <w:rFonts w:hint="default"/>
        <w:lang w:val="en-US" w:eastAsia="en-US" w:bidi="en-US"/>
      </w:rPr>
    </w:lvl>
    <w:lvl w:ilvl="5" w:tplc="B608D138">
      <w:numFmt w:val="bullet"/>
      <w:lvlText w:val="•"/>
      <w:lvlJc w:val="left"/>
      <w:pPr>
        <w:ind w:left="2161" w:hanging="140"/>
      </w:pPr>
      <w:rPr>
        <w:rFonts w:hint="default"/>
        <w:lang w:val="en-US" w:eastAsia="en-US" w:bidi="en-US"/>
      </w:rPr>
    </w:lvl>
    <w:lvl w:ilvl="6" w:tplc="DEE213AE">
      <w:numFmt w:val="bullet"/>
      <w:lvlText w:val="•"/>
      <w:lvlJc w:val="left"/>
      <w:pPr>
        <w:ind w:left="2573" w:hanging="140"/>
      </w:pPr>
      <w:rPr>
        <w:rFonts w:hint="default"/>
        <w:lang w:val="en-US" w:eastAsia="en-US" w:bidi="en-US"/>
      </w:rPr>
    </w:lvl>
    <w:lvl w:ilvl="7" w:tplc="610EE7A6">
      <w:numFmt w:val="bullet"/>
      <w:lvlText w:val="•"/>
      <w:lvlJc w:val="left"/>
      <w:pPr>
        <w:ind w:left="2985" w:hanging="140"/>
      </w:pPr>
      <w:rPr>
        <w:rFonts w:hint="default"/>
        <w:lang w:val="en-US" w:eastAsia="en-US" w:bidi="en-US"/>
      </w:rPr>
    </w:lvl>
    <w:lvl w:ilvl="8" w:tplc="538817BE">
      <w:numFmt w:val="bullet"/>
      <w:lvlText w:val="•"/>
      <w:lvlJc w:val="left"/>
      <w:pPr>
        <w:ind w:left="3397" w:hanging="140"/>
      </w:pPr>
      <w:rPr>
        <w:rFonts w:hint="default"/>
        <w:lang w:val="en-US" w:eastAsia="en-US" w:bidi="en-US"/>
      </w:rPr>
    </w:lvl>
  </w:abstractNum>
  <w:abstractNum w:abstractNumId="2" w15:restartNumberingAfterBreak="0">
    <w:nsid w:val="0EB140A0"/>
    <w:multiLevelType w:val="hybridMultilevel"/>
    <w:tmpl w:val="6B0C3DA6"/>
    <w:lvl w:ilvl="0" w:tplc="869A32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2666D"/>
    <w:multiLevelType w:val="hybridMultilevel"/>
    <w:tmpl w:val="3B8252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F4FB7"/>
    <w:multiLevelType w:val="hybridMultilevel"/>
    <w:tmpl w:val="3B825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57A62"/>
    <w:multiLevelType w:val="hybridMultilevel"/>
    <w:tmpl w:val="BA54A5F8"/>
    <w:lvl w:ilvl="0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6" w15:restartNumberingAfterBreak="0">
    <w:nsid w:val="18CA245B"/>
    <w:multiLevelType w:val="hybridMultilevel"/>
    <w:tmpl w:val="0032E3B6"/>
    <w:lvl w:ilvl="0" w:tplc="6D34E3C2">
      <w:numFmt w:val="bullet"/>
      <w:lvlText w:val="*"/>
      <w:lvlJc w:val="left"/>
      <w:pPr>
        <w:ind w:left="107" w:hanging="149"/>
      </w:pPr>
      <w:rPr>
        <w:rFonts w:ascii="Arial" w:eastAsia="Arial" w:hAnsi="Arial" w:cs="Arial" w:hint="default"/>
        <w:i/>
        <w:w w:val="100"/>
        <w:sz w:val="22"/>
        <w:szCs w:val="22"/>
        <w:lang w:val="en-US" w:eastAsia="en-US" w:bidi="en-US"/>
      </w:rPr>
    </w:lvl>
    <w:lvl w:ilvl="1" w:tplc="46187584">
      <w:numFmt w:val="bullet"/>
      <w:lvlText w:val="•"/>
      <w:lvlJc w:val="left"/>
      <w:pPr>
        <w:ind w:left="527" w:hanging="149"/>
      </w:pPr>
      <w:rPr>
        <w:rFonts w:hint="default"/>
        <w:lang w:val="en-US" w:eastAsia="en-US" w:bidi="en-US"/>
      </w:rPr>
    </w:lvl>
    <w:lvl w:ilvl="2" w:tplc="BA8E6DC4">
      <w:numFmt w:val="bullet"/>
      <w:lvlText w:val="•"/>
      <w:lvlJc w:val="left"/>
      <w:pPr>
        <w:ind w:left="955" w:hanging="149"/>
      </w:pPr>
      <w:rPr>
        <w:rFonts w:hint="default"/>
        <w:lang w:val="en-US" w:eastAsia="en-US" w:bidi="en-US"/>
      </w:rPr>
    </w:lvl>
    <w:lvl w:ilvl="3" w:tplc="50262AFE">
      <w:numFmt w:val="bullet"/>
      <w:lvlText w:val="•"/>
      <w:lvlJc w:val="left"/>
      <w:pPr>
        <w:ind w:left="1382" w:hanging="149"/>
      </w:pPr>
      <w:rPr>
        <w:rFonts w:hint="default"/>
        <w:lang w:val="en-US" w:eastAsia="en-US" w:bidi="en-US"/>
      </w:rPr>
    </w:lvl>
    <w:lvl w:ilvl="4" w:tplc="A1744FF4">
      <w:numFmt w:val="bullet"/>
      <w:lvlText w:val="•"/>
      <w:lvlJc w:val="left"/>
      <w:pPr>
        <w:ind w:left="1810" w:hanging="149"/>
      </w:pPr>
      <w:rPr>
        <w:rFonts w:hint="default"/>
        <w:lang w:val="en-US" w:eastAsia="en-US" w:bidi="en-US"/>
      </w:rPr>
    </w:lvl>
    <w:lvl w:ilvl="5" w:tplc="9DF651A6">
      <w:numFmt w:val="bullet"/>
      <w:lvlText w:val="•"/>
      <w:lvlJc w:val="left"/>
      <w:pPr>
        <w:ind w:left="2237" w:hanging="149"/>
      </w:pPr>
      <w:rPr>
        <w:rFonts w:hint="default"/>
        <w:lang w:val="en-US" w:eastAsia="en-US" w:bidi="en-US"/>
      </w:rPr>
    </w:lvl>
    <w:lvl w:ilvl="6" w:tplc="D60ADF6C">
      <w:numFmt w:val="bullet"/>
      <w:lvlText w:val="•"/>
      <w:lvlJc w:val="left"/>
      <w:pPr>
        <w:ind w:left="2665" w:hanging="149"/>
      </w:pPr>
      <w:rPr>
        <w:rFonts w:hint="default"/>
        <w:lang w:val="en-US" w:eastAsia="en-US" w:bidi="en-US"/>
      </w:rPr>
    </w:lvl>
    <w:lvl w:ilvl="7" w:tplc="D88E5338">
      <w:numFmt w:val="bullet"/>
      <w:lvlText w:val="•"/>
      <w:lvlJc w:val="left"/>
      <w:pPr>
        <w:ind w:left="3092" w:hanging="149"/>
      </w:pPr>
      <w:rPr>
        <w:rFonts w:hint="default"/>
        <w:lang w:val="en-US" w:eastAsia="en-US" w:bidi="en-US"/>
      </w:rPr>
    </w:lvl>
    <w:lvl w:ilvl="8" w:tplc="12F223C2">
      <w:numFmt w:val="bullet"/>
      <w:lvlText w:val="•"/>
      <w:lvlJc w:val="left"/>
      <w:pPr>
        <w:ind w:left="3520" w:hanging="149"/>
      </w:pPr>
      <w:rPr>
        <w:rFonts w:hint="default"/>
        <w:lang w:val="en-US" w:eastAsia="en-US" w:bidi="en-US"/>
      </w:rPr>
    </w:lvl>
  </w:abstractNum>
  <w:abstractNum w:abstractNumId="7" w15:restartNumberingAfterBreak="0">
    <w:nsid w:val="1FA5255B"/>
    <w:multiLevelType w:val="hybridMultilevel"/>
    <w:tmpl w:val="83B0847C"/>
    <w:lvl w:ilvl="0" w:tplc="2A54529A">
      <w:start w:val="1"/>
      <w:numFmt w:val="decimal"/>
      <w:lvlText w:val="%1."/>
      <w:lvlJc w:val="left"/>
      <w:pPr>
        <w:ind w:left="820" w:hanging="360"/>
      </w:pPr>
      <w:rPr>
        <w:rFonts w:hint="default"/>
        <w:b/>
        <w:bCs/>
        <w:spacing w:val="-1"/>
        <w:w w:val="100"/>
        <w:lang w:val="en-US" w:eastAsia="en-US" w:bidi="en-US"/>
      </w:rPr>
    </w:lvl>
    <w:lvl w:ilvl="1" w:tplc="3C9C8FF6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6E4E458A"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en-US"/>
      </w:rPr>
    </w:lvl>
    <w:lvl w:ilvl="3" w:tplc="3BCA475C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en-US"/>
      </w:rPr>
    </w:lvl>
    <w:lvl w:ilvl="4" w:tplc="FF0E6900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5" w:tplc="9288E8CE">
      <w:numFmt w:val="bullet"/>
      <w:lvlText w:val="•"/>
      <w:lvlJc w:val="left"/>
      <w:pPr>
        <w:ind w:left="7113" w:hanging="360"/>
      </w:pPr>
      <w:rPr>
        <w:rFonts w:hint="default"/>
        <w:lang w:val="en-US" w:eastAsia="en-US" w:bidi="en-US"/>
      </w:rPr>
    </w:lvl>
    <w:lvl w:ilvl="6" w:tplc="AF3043C0">
      <w:numFmt w:val="bullet"/>
      <w:lvlText w:val="•"/>
      <w:lvlJc w:val="left"/>
      <w:pPr>
        <w:ind w:left="8326" w:hanging="360"/>
      </w:pPr>
      <w:rPr>
        <w:rFonts w:hint="default"/>
        <w:lang w:val="en-US" w:eastAsia="en-US" w:bidi="en-US"/>
      </w:rPr>
    </w:lvl>
    <w:lvl w:ilvl="7" w:tplc="746A7A6A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  <w:lvl w:ilvl="8" w:tplc="C852808E">
      <w:numFmt w:val="bullet"/>
      <w:lvlText w:val="•"/>
      <w:lvlJc w:val="left"/>
      <w:pPr>
        <w:ind w:left="10753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28AA2D4C"/>
    <w:multiLevelType w:val="hybridMultilevel"/>
    <w:tmpl w:val="D9F89CEC"/>
    <w:lvl w:ilvl="0" w:tplc="A52C18B8">
      <w:numFmt w:val="bullet"/>
      <w:lvlText w:val="*"/>
      <w:lvlJc w:val="left"/>
      <w:pPr>
        <w:ind w:left="107" w:hanging="140"/>
      </w:pPr>
      <w:rPr>
        <w:rFonts w:ascii="Arial" w:eastAsia="Arial" w:hAnsi="Arial" w:cs="Arial" w:hint="default"/>
        <w:i/>
        <w:w w:val="100"/>
        <w:sz w:val="21"/>
        <w:szCs w:val="21"/>
        <w:lang w:val="en-US" w:eastAsia="en-US" w:bidi="en-US"/>
      </w:rPr>
    </w:lvl>
    <w:lvl w:ilvl="1" w:tplc="B7805F6E">
      <w:numFmt w:val="bullet"/>
      <w:lvlText w:val="•"/>
      <w:lvlJc w:val="left"/>
      <w:pPr>
        <w:ind w:left="512" w:hanging="140"/>
      </w:pPr>
      <w:rPr>
        <w:rFonts w:hint="default"/>
        <w:lang w:val="en-US" w:eastAsia="en-US" w:bidi="en-US"/>
      </w:rPr>
    </w:lvl>
    <w:lvl w:ilvl="2" w:tplc="7730DD38">
      <w:numFmt w:val="bullet"/>
      <w:lvlText w:val="•"/>
      <w:lvlJc w:val="left"/>
      <w:pPr>
        <w:ind w:left="924" w:hanging="140"/>
      </w:pPr>
      <w:rPr>
        <w:rFonts w:hint="default"/>
        <w:lang w:val="en-US" w:eastAsia="en-US" w:bidi="en-US"/>
      </w:rPr>
    </w:lvl>
    <w:lvl w:ilvl="3" w:tplc="2DBC1100">
      <w:numFmt w:val="bullet"/>
      <w:lvlText w:val="•"/>
      <w:lvlJc w:val="left"/>
      <w:pPr>
        <w:ind w:left="1336" w:hanging="140"/>
      </w:pPr>
      <w:rPr>
        <w:rFonts w:hint="default"/>
        <w:lang w:val="en-US" w:eastAsia="en-US" w:bidi="en-US"/>
      </w:rPr>
    </w:lvl>
    <w:lvl w:ilvl="4" w:tplc="8578C498">
      <w:numFmt w:val="bullet"/>
      <w:lvlText w:val="•"/>
      <w:lvlJc w:val="left"/>
      <w:pPr>
        <w:ind w:left="1748" w:hanging="140"/>
      </w:pPr>
      <w:rPr>
        <w:rFonts w:hint="default"/>
        <w:lang w:val="en-US" w:eastAsia="en-US" w:bidi="en-US"/>
      </w:rPr>
    </w:lvl>
    <w:lvl w:ilvl="5" w:tplc="72AEF634">
      <w:numFmt w:val="bullet"/>
      <w:lvlText w:val="•"/>
      <w:lvlJc w:val="left"/>
      <w:pPr>
        <w:ind w:left="2161" w:hanging="140"/>
      </w:pPr>
      <w:rPr>
        <w:rFonts w:hint="default"/>
        <w:lang w:val="en-US" w:eastAsia="en-US" w:bidi="en-US"/>
      </w:rPr>
    </w:lvl>
    <w:lvl w:ilvl="6" w:tplc="D660B370">
      <w:numFmt w:val="bullet"/>
      <w:lvlText w:val="•"/>
      <w:lvlJc w:val="left"/>
      <w:pPr>
        <w:ind w:left="2573" w:hanging="140"/>
      </w:pPr>
      <w:rPr>
        <w:rFonts w:hint="default"/>
        <w:lang w:val="en-US" w:eastAsia="en-US" w:bidi="en-US"/>
      </w:rPr>
    </w:lvl>
    <w:lvl w:ilvl="7" w:tplc="76D2D2A6">
      <w:numFmt w:val="bullet"/>
      <w:lvlText w:val="•"/>
      <w:lvlJc w:val="left"/>
      <w:pPr>
        <w:ind w:left="2985" w:hanging="140"/>
      </w:pPr>
      <w:rPr>
        <w:rFonts w:hint="default"/>
        <w:lang w:val="en-US" w:eastAsia="en-US" w:bidi="en-US"/>
      </w:rPr>
    </w:lvl>
    <w:lvl w:ilvl="8" w:tplc="A03CC14C">
      <w:numFmt w:val="bullet"/>
      <w:lvlText w:val="•"/>
      <w:lvlJc w:val="left"/>
      <w:pPr>
        <w:ind w:left="3397" w:hanging="140"/>
      </w:pPr>
      <w:rPr>
        <w:rFonts w:hint="default"/>
        <w:lang w:val="en-US" w:eastAsia="en-US" w:bidi="en-US"/>
      </w:rPr>
    </w:lvl>
  </w:abstractNum>
  <w:abstractNum w:abstractNumId="9" w15:restartNumberingAfterBreak="0">
    <w:nsid w:val="2C2E0FC5"/>
    <w:multiLevelType w:val="hybridMultilevel"/>
    <w:tmpl w:val="52E0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94DF2"/>
    <w:multiLevelType w:val="multilevel"/>
    <w:tmpl w:val="199A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mesRomanNor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07170DF"/>
    <w:multiLevelType w:val="multilevel"/>
    <w:tmpl w:val="043A99A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4CE4BF7"/>
    <w:multiLevelType w:val="hybridMultilevel"/>
    <w:tmpl w:val="E1C4B430"/>
    <w:lvl w:ilvl="0" w:tplc="869A32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406730">
    <w:abstractNumId w:val="11"/>
  </w:num>
  <w:num w:numId="2" w16cid:durableId="1083794936">
    <w:abstractNumId w:val="10"/>
  </w:num>
  <w:num w:numId="3" w16cid:durableId="125777788">
    <w:abstractNumId w:val="6"/>
  </w:num>
  <w:num w:numId="4" w16cid:durableId="1213271129">
    <w:abstractNumId w:val="8"/>
  </w:num>
  <w:num w:numId="5" w16cid:durableId="1686707959">
    <w:abstractNumId w:val="7"/>
  </w:num>
  <w:num w:numId="6" w16cid:durableId="1707564421">
    <w:abstractNumId w:val="0"/>
  </w:num>
  <w:num w:numId="7" w16cid:durableId="198589022">
    <w:abstractNumId w:val="1"/>
  </w:num>
  <w:num w:numId="8" w16cid:durableId="1965191235">
    <w:abstractNumId w:val="4"/>
  </w:num>
  <w:num w:numId="9" w16cid:durableId="991370409">
    <w:abstractNumId w:val="9"/>
  </w:num>
  <w:num w:numId="10" w16cid:durableId="1087731404">
    <w:abstractNumId w:val="3"/>
  </w:num>
  <w:num w:numId="11" w16cid:durableId="1721050634">
    <w:abstractNumId w:val="2"/>
  </w:num>
  <w:num w:numId="12" w16cid:durableId="1095200719">
    <w:abstractNumId w:val="5"/>
  </w:num>
  <w:num w:numId="13" w16cid:durableId="13414712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A9"/>
    <w:rsid w:val="00045198"/>
    <w:rsid w:val="0005447B"/>
    <w:rsid w:val="00064AFD"/>
    <w:rsid w:val="00085FA9"/>
    <w:rsid w:val="000953A9"/>
    <w:rsid w:val="000A519B"/>
    <w:rsid w:val="000C119A"/>
    <w:rsid w:val="001008CF"/>
    <w:rsid w:val="00110672"/>
    <w:rsid w:val="00122F2C"/>
    <w:rsid w:val="0015221E"/>
    <w:rsid w:val="00173190"/>
    <w:rsid w:val="00192E2C"/>
    <w:rsid w:val="001D1E4B"/>
    <w:rsid w:val="001D61CE"/>
    <w:rsid w:val="001F714B"/>
    <w:rsid w:val="002035F2"/>
    <w:rsid w:val="002065C9"/>
    <w:rsid w:val="00206CF7"/>
    <w:rsid w:val="00231030"/>
    <w:rsid w:val="00250377"/>
    <w:rsid w:val="00282CBE"/>
    <w:rsid w:val="002E0E8B"/>
    <w:rsid w:val="00345827"/>
    <w:rsid w:val="0038399F"/>
    <w:rsid w:val="00386D11"/>
    <w:rsid w:val="0039719F"/>
    <w:rsid w:val="003C55B3"/>
    <w:rsid w:val="003D341E"/>
    <w:rsid w:val="003E24AE"/>
    <w:rsid w:val="003F53B9"/>
    <w:rsid w:val="003F6E27"/>
    <w:rsid w:val="00431DD5"/>
    <w:rsid w:val="00441B27"/>
    <w:rsid w:val="00487B3C"/>
    <w:rsid w:val="004B7AF6"/>
    <w:rsid w:val="004C453A"/>
    <w:rsid w:val="004E72C5"/>
    <w:rsid w:val="004E741C"/>
    <w:rsid w:val="005068A0"/>
    <w:rsid w:val="00524BD5"/>
    <w:rsid w:val="00527022"/>
    <w:rsid w:val="0053172A"/>
    <w:rsid w:val="005D2966"/>
    <w:rsid w:val="005E2679"/>
    <w:rsid w:val="005E5EB8"/>
    <w:rsid w:val="005F2034"/>
    <w:rsid w:val="00623177"/>
    <w:rsid w:val="00696A12"/>
    <w:rsid w:val="006A1190"/>
    <w:rsid w:val="006E4C93"/>
    <w:rsid w:val="00705F4D"/>
    <w:rsid w:val="00720A27"/>
    <w:rsid w:val="00723B44"/>
    <w:rsid w:val="007505DA"/>
    <w:rsid w:val="00792BC1"/>
    <w:rsid w:val="007A2B16"/>
    <w:rsid w:val="007A3BB5"/>
    <w:rsid w:val="007C3294"/>
    <w:rsid w:val="008133DA"/>
    <w:rsid w:val="00847EF6"/>
    <w:rsid w:val="00874A25"/>
    <w:rsid w:val="00880583"/>
    <w:rsid w:val="0089655E"/>
    <w:rsid w:val="008B6AB5"/>
    <w:rsid w:val="008B6DA0"/>
    <w:rsid w:val="009A4B6E"/>
    <w:rsid w:val="009D0470"/>
    <w:rsid w:val="009D6781"/>
    <w:rsid w:val="009E37A1"/>
    <w:rsid w:val="00A4448C"/>
    <w:rsid w:val="00A456B8"/>
    <w:rsid w:val="00A52DB0"/>
    <w:rsid w:val="00A61589"/>
    <w:rsid w:val="00AB2B75"/>
    <w:rsid w:val="00AD3ED6"/>
    <w:rsid w:val="00AE70F3"/>
    <w:rsid w:val="00B12258"/>
    <w:rsid w:val="00B13F49"/>
    <w:rsid w:val="00B267C7"/>
    <w:rsid w:val="00B5046F"/>
    <w:rsid w:val="00B610FD"/>
    <w:rsid w:val="00B632AE"/>
    <w:rsid w:val="00B844C4"/>
    <w:rsid w:val="00BF3C12"/>
    <w:rsid w:val="00BF4FC9"/>
    <w:rsid w:val="00BF516B"/>
    <w:rsid w:val="00C05EED"/>
    <w:rsid w:val="00C06040"/>
    <w:rsid w:val="00C30BFE"/>
    <w:rsid w:val="00C354B9"/>
    <w:rsid w:val="00C450DF"/>
    <w:rsid w:val="00C4759F"/>
    <w:rsid w:val="00C76D52"/>
    <w:rsid w:val="00C8497E"/>
    <w:rsid w:val="00CC3639"/>
    <w:rsid w:val="00CD1BAF"/>
    <w:rsid w:val="00CE7E33"/>
    <w:rsid w:val="00CF6C89"/>
    <w:rsid w:val="00D01171"/>
    <w:rsid w:val="00D05B75"/>
    <w:rsid w:val="00D11428"/>
    <w:rsid w:val="00D55D36"/>
    <w:rsid w:val="00D6453B"/>
    <w:rsid w:val="00D75E71"/>
    <w:rsid w:val="00D9352A"/>
    <w:rsid w:val="00DD475B"/>
    <w:rsid w:val="00E00A30"/>
    <w:rsid w:val="00E040BC"/>
    <w:rsid w:val="00E161C3"/>
    <w:rsid w:val="00E178D4"/>
    <w:rsid w:val="00E2139C"/>
    <w:rsid w:val="00E558B0"/>
    <w:rsid w:val="00E702C2"/>
    <w:rsid w:val="00E70A25"/>
    <w:rsid w:val="00E8199D"/>
    <w:rsid w:val="00EA390F"/>
    <w:rsid w:val="00EB0B64"/>
    <w:rsid w:val="00EE16E9"/>
    <w:rsid w:val="00EF0B23"/>
    <w:rsid w:val="00EF6250"/>
    <w:rsid w:val="00F06355"/>
    <w:rsid w:val="00F160E7"/>
    <w:rsid w:val="00F2212B"/>
    <w:rsid w:val="00F3601C"/>
    <w:rsid w:val="00F83F39"/>
    <w:rsid w:val="00FB70D8"/>
    <w:rsid w:val="00FB7D1D"/>
    <w:rsid w:val="00FC01BC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5F6C4"/>
  <w15:chartTrackingRefBased/>
  <w15:docId w15:val="{3131197A-8CC1-415F-A527-A5EF788E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F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5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F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RomanNormal">
    <w:name w:val="Times Roman Normal"/>
    <w:basedOn w:val="Heading1"/>
    <w:link w:val="TimesRomanNormalChar"/>
    <w:qFormat/>
    <w:rsid w:val="0089655E"/>
    <w:pPr>
      <w:keepNext w:val="0"/>
      <w:keepLines w:val="0"/>
      <w:numPr>
        <w:ilvl w:val="1"/>
        <w:numId w:val="2"/>
      </w:numPr>
      <w:tabs>
        <w:tab w:val="left" w:pos="1078"/>
        <w:tab w:val="left" w:pos="1079"/>
      </w:tabs>
      <w:spacing w:before="0"/>
      <w:ind w:hanging="360"/>
    </w:pPr>
    <w:rPr>
      <w:rFonts w:ascii="Times New Roman" w:eastAsia="Times New Roman" w:hAnsi="Times New Roman" w:cs="Times New Roman"/>
      <w:color w:val="3C3C3C"/>
      <w:w w:val="105"/>
      <w:sz w:val="22"/>
      <w:szCs w:val="22"/>
    </w:rPr>
  </w:style>
  <w:style w:type="character" w:customStyle="1" w:styleId="TimesRomanNormalChar">
    <w:name w:val="Times Roman Normal Char"/>
    <w:basedOn w:val="Heading1Char"/>
    <w:link w:val="TimesRomanNormal"/>
    <w:rsid w:val="0089655E"/>
    <w:rPr>
      <w:rFonts w:ascii="Times New Roman" w:eastAsia="Times New Roman" w:hAnsi="Times New Roman" w:cs="Times New Roman"/>
      <w:color w:val="3C3C3C"/>
      <w:w w:val="105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965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085FA9"/>
    <w:pPr>
      <w:ind w:left="107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85F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282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190"/>
    <w:rPr>
      <w:rFonts w:ascii="Arial" w:eastAsia="Arial" w:hAnsi="Arial" w:cs="Arial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64AFD"/>
    <w:rPr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064AFD"/>
    <w:rPr>
      <w:rFonts w:ascii="Arial" w:eastAsia="Arial" w:hAnsi="Arial" w:cs="Arial"/>
      <w:i/>
      <w:lang w:bidi="en-US"/>
    </w:rPr>
  </w:style>
  <w:style w:type="paragraph" w:customStyle="1" w:styleId="qowt-li-80">
    <w:name w:val="qowt-li-8_0"/>
    <w:basedOn w:val="Normal"/>
    <w:rsid w:val="00AB2B7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qowt-font2-centurygothic">
    <w:name w:val="qowt-font2-centurygothic"/>
    <w:basedOn w:val="DefaultParagraphFont"/>
    <w:rsid w:val="00AB2B75"/>
  </w:style>
  <w:style w:type="paragraph" w:styleId="Footer">
    <w:name w:val="footer"/>
    <w:basedOn w:val="Normal"/>
    <w:link w:val="FooterChar"/>
    <w:uiPriority w:val="99"/>
    <w:unhideWhenUsed/>
    <w:rsid w:val="00EB0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B6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E0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21151.pcdn.co/wp-content/uploads/RAD-and-DSE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21151.pcdn.co/wp-content/uploads/RAD-and-DSE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7FDF60D05442CCA58E25E108ECA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50404-4A55-4949-A7CC-DDB62140CB8F}"/>
      </w:docPartPr>
      <w:docPartBody>
        <w:p w:rsidR="0016061E" w:rsidRDefault="00B42B5E" w:rsidP="00B42B5E">
          <w:pPr>
            <w:pStyle w:val="AD7FDF60D05442CCA58E25E108ECAF7D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5E"/>
    <w:rsid w:val="000E4A24"/>
    <w:rsid w:val="0016061E"/>
    <w:rsid w:val="00625471"/>
    <w:rsid w:val="00B0644C"/>
    <w:rsid w:val="00B42B5E"/>
    <w:rsid w:val="00E0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7FDF60D05442CCA58E25E108ECAF7D">
    <w:name w:val="AD7FDF60D05442CCA58E25E108ECAF7D"/>
    <w:rsid w:val="00B42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Provider Clinical Practice Performance Measurement Tool – Internal User Guide</dc:title>
  <dc:subject/>
  <dc:creator>Michelle Guerra</dc:creator>
  <cp:keywords/>
  <dc:description/>
  <cp:lastModifiedBy>Michelle Guerra</cp:lastModifiedBy>
  <cp:revision>3</cp:revision>
  <dcterms:created xsi:type="dcterms:W3CDTF">2023-01-04T14:28:00Z</dcterms:created>
  <dcterms:modified xsi:type="dcterms:W3CDTF">2023-01-04T14:28:00Z</dcterms:modified>
</cp:coreProperties>
</file>